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355C" w14:textId="4E84725A" w:rsidR="005F4A5C" w:rsidRPr="00C05967" w:rsidRDefault="00C05967" w:rsidP="003255F1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14:paraId="39D3655A" w14:textId="764D1A6F" w:rsidR="005F4A5C" w:rsidRPr="003255F1" w:rsidRDefault="00060AC3" w:rsidP="003255F1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5F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F4A5C" w:rsidRPr="003255F1">
        <w:rPr>
          <w:rFonts w:ascii="Times New Roman" w:hAnsi="Times New Roman" w:cs="Times New Roman"/>
          <w:b/>
          <w:bCs/>
          <w:sz w:val="24"/>
          <w:szCs w:val="24"/>
        </w:rPr>
        <w:t xml:space="preserve">руглого стола </w:t>
      </w:r>
      <w:r w:rsidRPr="003255F1"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5F4A5C" w:rsidRPr="003255F1">
        <w:rPr>
          <w:rFonts w:ascii="Times New Roman" w:hAnsi="Times New Roman" w:cs="Times New Roman"/>
          <w:b/>
          <w:bCs/>
          <w:sz w:val="24"/>
          <w:szCs w:val="24"/>
        </w:rPr>
        <w:t>оследстви</w:t>
      </w:r>
      <w:r w:rsidRPr="003255F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5F4A5C" w:rsidRPr="003255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4A5C" w:rsidRPr="003255F1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</w:t>
      </w:r>
      <w:r w:rsidR="005F4A5C" w:rsidRPr="003255F1">
        <w:rPr>
          <w:rFonts w:ascii="Times New Roman" w:hAnsi="Times New Roman" w:cs="Times New Roman"/>
          <w:b/>
          <w:bCs/>
          <w:sz w:val="24"/>
          <w:szCs w:val="24"/>
        </w:rPr>
        <w:t xml:space="preserve">-19 </w:t>
      </w:r>
      <w:r w:rsidR="005F4A5C" w:rsidRPr="003255F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для </w:t>
      </w:r>
      <w:r w:rsidR="00AC5B2C" w:rsidRPr="003255F1">
        <w:rPr>
          <w:rFonts w:ascii="Times New Roman" w:hAnsi="Times New Roman" w:cs="Times New Roman"/>
          <w:b/>
          <w:bCs/>
          <w:sz w:val="24"/>
          <w:szCs w:val="24"/>
        </w:rPr>
        <w:t>НПО</w:t>
      </w:r>
      <w:r w:rsidRPr="003255F1">
        <w:rPr>
          <w:rFonts w:ascii="Times New Roman" w:hAnsi="Times New Roman" w:cs="Times New Roman"/>
          <w:b/>
          <w:bCs/>
          <w:sz w:val="24"/>
          <w:szCs w:val="24"/>
        </w:rPr>
        <w:t>: проблемы и пути решения»</w:t>
      </w:r>
    </w:p>
    <w:p w14:paraId="7F9B0D5C" w14:textId="25982DE1" w:rsidR="005F4A5C" w:rsidRPr="003255F1" w:rsidRDefault="00556403" w:rsidP="003255F1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5F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B6FC4" w:rsidRPr="003255F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255F1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2022</w:t>
      </w:r>
      <w:r w:rsidR="005F4A5C" w:rsidRPr="003255F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50C163E8" w14:textId="7A5C7B0E" w:rsidR="00C77150" w:rsidRPr="00050E02" w:rsidRDefault="00C77150" w:rsidP="00050E02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1AA256B3" w14:textId="6F403300" w:rsidR="00C77150" w:rsidRPr="00C97A83" w:rsidRDefault="00C77150" w:rsidP="00C771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F8D"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AC5B2C">
        <w:rPr>
          <w:rFonts w:ascii="Times New Roman" w:hAnsi="Times New Roman" w:cs="Times New Roman"/>
          <w:b/>
          <w:sz w:val="24"/>
          <w:szCs w:val="24"/>
        </w:rPr>
        <w:t>:</w:t>
      </w:r>
      <w:r w:rsidR="007433F6">
        <w:rPr>
          <w:rFonts w:ascii="Times New Roman" w:hAnsi="Times New Roman" w:cs="Times New Roman"/>
          <w:b/>
          <w:sz w:val="24"/>
          <w:szCs w:val="24"/>
        </w:rPr>
        <w:t xml:space="preserve"> Батталова З. К.</w:t>
      </w:r>
      <w:r w:rsidR="0037218E" w:rsidRPr="0037218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959F9">
        <w:rPr>
          <w:rFonts w:ascii="Times New Roman" w:hAnsi="Times New Roman" w:cs="Times New Roman"/>
          <w:bCs/>
          <w:sz w:val="24"/>
          <w:szCs w:val="24"/>
        </w:rPr>
        <w:t>президент общественного фонда «Фонд развития Парламентаризма»</w:t>
      </w:r>
      <w:r w:rsidR="00C97A83" w:rsidRPr="00C97A8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83E151" w14:textId="575AECC3" w:rsidR="00C77150" w:rsidRPr="0037218E" w:rsidRDefault="00C77150" w:rsidP="00C771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F8D">
        <w:rPr>
          <w:rFonts w:ascii="Times New Roman" w:hAnsi="Times New Roman" w:cs="Times New Roman"/>
          <w:b/>
          <w:sz w:val="24"/>
          <w:szCs w:val="24"/>
        </w:rPr>
        <w:t>Участники встречи</w:t>
      </w:r>
      <w:r w:rsidR="00AC5B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F2C7E" w:rsidRPr="0037218E">
        <w:rPr>
          <w:rFonts w:ascii="Times New Roman" w:hAnsi="Times New Roman" w:cs="Times New Roman"/>
          <w:bCs/>
          <w:sz w:val="24"/>
          <w:szCs w:val="24"/>
        </w:rPr>
        <w:t xml:space="preserve">представители НПО, работающие в сфере ВИЧ/СПИДа, </w:t>
      </w:r>
      <w:r w:rsidR="00556403">
        <w:rPr>
          <w:rFonts w:ascii="Times New Roman" w:hAnsi="Times New Roman" w:cs="Times New Roman"/>
          <w:bCs/>
          <w:sz w:val="24"/>
          <w:szCs w:val="24"/>
        </w:rPr>
        <w:t>т</w:t>
      </w:r>
      <w:r w:rsidR="001F2C7E" w:rsidRPr="0037218E">
        <w:rPr>
          <w:rFonts w:ascii="Times New Roman" w:hAnsi="Times New Roman" w:cs="Times New Roman"/>
          <w:bCs/>
          <w:sz w:val="24"/>
          <w:szCs w:val="24"/>
        </w:rPr>
        <w:t xml:space="preserve">уберкулеза, прав человека и </w:t>
      </w:r>
      <w:r w:rsidR="0037218E" w:rsidRPr="0037218E">
        <w:rPr>
          <w:rFonts w:ascii="Times New Roman" w:hAnsi="Times New Roman" w:cs="Times New Roman"/>
          <w:bCs/>
          <w:sz w:val="24"/>
          <w:szCs w:val="24"/>
        </w:rPr>
        <w:t>гендерным вопросам</w:t>
      </w:r>
      <w:r w:rsidR="00060AC3">
        <w:rPr>
          <w:rFonts w:ascii="Times New Roman" w:hAnsi="Times New Roman" w:cs="Times New Roman"/>
          <w:bCs/>
          <w:sz w:val="24"/>
          <w:szCs w:val="24"/>
        </w:rPr>
        <w:t>, государственные и международные организации</w:t>
      </w:r>
      <w:r w:rsidR="0037218E" w:rsidRPr="0037218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B71A90" w14:textId="77777777" w:rsidR="00FF01E3" w:rsidRDefault="002F358D" w:rsidP="00FF01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18E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2E2B17">
        <w:rPr>
          <w:rFonts w:ascii="Times New Roman" w:hAnsi="Times New Roman" w:cs="Times New Roman"/>
          <w:sz w:val="24"/>
          <w:szCs w:val="24"/>
        </w:rPr>
        <w:t xml:space="preserve">Астана, Отель </w:t>
      </w:r>
      <w:r w:rsidR="005D6B00">
        <w:rPr>
          <w:rFonts w:ascii="Times New Roman" w:hAnsi="Times New Roman" w:cs="Times New Roman"/>
          <w:sz w:val="24"/>
          <w:szCs w:val="24"/>
        </w:rPr>
        <w:t>«</w:t>
      </w:r>
      <w:r w:rsidR="002E2B17">
        <w:rPr>
          <w:rFonts w:ascii="Times New Roman" w:hAnsi="Times New Roman" w:cs="Times New Roman"/>
          <w:sz w:val="24"/>
          <w:szCs w:val="24"/>
        </w:rPr>
        <w:t>Парк Инн</w:t>
      </w:r>
      <w:r w:rsidR="005D6B00">
        <w:rPr>
          <w:rFonts w:ascii="Times New Roman" w:hAnsi="Times New Roman" w:cs="Times New Roman"/>
          <w:sz w:val="24"/>
          <w:szCs w:val="24"/>
        </w:rPr>
        <w:t>»</w:t>
      </w:r>
      <w:r w:rsidR="00FF01E3" w:rsidRPr="00FF0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C7FABE" w14:textId="77B03FED" w:rsidR="00FF01E3" w:rsidRDefault="00FF01E3" w:rsidP="00FF01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п</w:t>
      </w:r>
      <w:r w:rsidRPr="00A408DA">
        <w:rPr>
          <w:rFonts w:ascii="Times New Roman" w:hAnsi="Times New Roman" w:cs="Times New Roman"/>
          <w:color w:val="000000" w:themeColor="text1"/>
          <w:sz w:val="24"/>
          <w:szCs w:val="24"/>
        </w:rPr>
        <w:t>риве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тственным словом выступили модератор совещания Батталова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Зауреш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Кабылбековна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Катренова Айгуль Нургалиевна, Главный эксперт Комитета Санитарно-эпидемиологического контроля, Министерство здравоохранения Республики Казахстан, Заместитель председателя СКК Сауранбаева Мира Муратовна, директор проекта </w:t>
      </w:r>
      <w:r w:rsidRPr="0040107C">
        <w:rPr>
          <w:rFonts w:ascii="Times New Roman" w:hAnsi="Times New Roman" w:cs="Times New Roman"/>
          <w:color w:val="000000" w:themeColor="text1"/>
          <w:sz w:val="24"/>
          <w:szCs w:val="24"/>
        </w:rPr>
        <w:t>Алматинская модель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0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контролю над эпидемией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ВИЧ, Аманжолов Нурали, член надзорного комитета СКК</w:t>
      </w:r>
      <w:r w:rsidR="00A61A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 ОЮЛ «Центрально-азиатская Ассоциация людей, живущих с ВИЧ». </w:t>
      </w:r>
    </w:p>
    <w:p w14:paraId="63EAF090" w14:textId="6E6FDD58" w:rsidR="00FF01E3" w:rsidRDefault="00FF01E3" w:rsidP="00FF01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Выступающие отметили особую роль неправительственных организаций и их вклад в борьбе с пандемией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COVID</w:t>
      </w:r>
      <w:r w:rsidRPr="0050404D">
        <w:rPr>
          <w:rFonts w:ascii="Times New Roman" w:hAnsi="Times New Roman" w:cs="Times New Roman"/>
          <w:color w:val="000000" w:themeColor="text1"/>
          <w:sz w:val="24"/>
          <w:szCs w:val="24"/>
        </w:rPr>
        <w:t>-19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Были перечислены основные услуги, которые были дополнительно организованы и облегчили </w:t>
      </w:r>
      <w:r w:rsidR="00CC30E1">
        <w:rPr>
          <w:rFonts w:ascii="Times New Roman" w:hAnsi="Times New Roman" w:cs="Times New Roman"/>
          <w:color w:val="000000" w:themeColor="text1"/>
          <w:sz w:val="24"/>
          <w:szCs w:val="24"/>
        </w:rPr>
        <w:t>доступ к профилактическим мероприятиям</w:t>
      </w:r>
      <w:r w:rsidR="00D900CD">
        <w:rPr>
          <w:rFonts w:ascii="Times New Roman" w:hAnsi="Times New Roman" w:cs="Times New Roman"/>
          <w:color w:val="000000" w:themeColor="text1"/>
          <w:sz w:val="24"/>
          <w:szCs w:val="24"/>
        </w:rPr>
        <w:t>. Отметили важность и необходимость данного мероприятия.</w:t>
      </w:r>
    </w:p>
    <w:p w14:paraId="72CDED15" w14:textId="77777777" w:rsidR="00CC30E1" w:rsidRPr="00A255E6" w:rsidRDefault="00CC30E1" w:rsidP="00CC30E1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5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Вопрос 1. </w:t>
      </w:r>
      <w:r w:rsidRPr="00A255E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по государственному социальному заказу для НПО. Дифференцированный успех в смягчении последствий пандемии. Посткризисный период. </w:t>
      </w:r>
    </w:p>
    <w:p w14:paraId="705C169A" w14:textId="6A7D49F7" w:rsidR="00CC30E1" w:rsidRPr="008D68E1" w:rsidRDefault="00A64161" w:rsidP="00CC30E1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8E1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- </w:t>
      </w:r>
      <w:r w:rsidR="00CC30E1" w:rsidRPr="008D68E1">
        <w:rPr>
          <w:rFonts w:ascii="Times New Roman" w:hAnsi="Times New Roman" w:cs="Times New Roman"/>
          <w:i/>
          <w:iCs/>
          <w:sz w:val="24"/>
          <w:szCs w:val="24"/>
        </w:rPr>
        <w:t xml:space="preserve">Султанова </w:t>
      </w:r>
      <w:proofErr w:type="spellStart"/>
      <w:r w:rsidR="00CC30E1" w:rsidRPr="008D68E1">
        <w:rPr>
          <w:rFonts w:ascii="Times New Roman" w:hAnsi="Times New Roman" w:cs="Times New Roman"/>
          <w:i/>
          <w:iCs/>
          <w:sz w:val="24"/>
          <w:szCs w:val="24"/>
        </w:rPr>
        <w:t>Гульбара</w:t>
      </w:r>
      <w:proofErr w:type="spellEnd"/>
      <w:r w:rsidR="00CC30E1" w:rsidRPr="008D68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C30E1" w:rsidRPr="008D68E1">
        <w:rPr>
          <w:rFonts w:ascii="Times New Roman" w:hAnsi="Times New Roman" w:cs="Times New Roman"/>
          <w:i/>
          <w:iCs/>
          <w:sz w:val="24"/>
          <w:szCs w:val="24"/>
        </w:rPr>
        <w:t>Бекетовна</w:t>
      </w:r>
      <w:proofErr w:type="spellEnd"/>
      <w:r w:rsidR="00CC30E1" w:rsidRPr="008D68E1">
        <w:rPr>
          <w:rFonts w:ascii="Times New Roman" w:hAnsi="Times New Roman" w:cs="Times New Roman"/>
          <w:i/>
          <w:iCs/>
          <w:sz w:val="24"/>
          <w:szCs w:val="24"/>
        </w:rPr>
        <w:t>, заместитель председателя Комитета по делам гражданского общества, Министерство информации и общественного развития Республики Казахстан, член СКК</w:t>
      </w:r>
      <w:r w:rsidR="00CC30E1" w:rsidRPr="008D68E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9D898C" w14:textId="1E8B1808" w:rsidR="00CC30E1" w:rsidRPr="008D68E1" w:rsidRDefault="00CC30E1" w:rsidP="00CC30E1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25B3BC" w14:textId="797273B8" w:rsidR="008248DF" w:rsidRPr="008D68E1" w:rsidRDefault="008248DF" w:rsidP="00CC30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D68E1">
        <w:rPr>
          <w:rFonts w:ascii="Times New Roman" w:hAnsi="Times New Roman" w:cs="Times New Roman"/>
          <w:sz w:val="24"/>
          <w:szCs w:val="24"/>
        </w:rPr>
        <w:t xml:space="preserve">Участникам представлена информация по государственной поддержке </w:t>
      </w:r>
      <w:r w:rsidR="00EF3E2F" w:rsidRPr="008D68E1">
        <w:rPr>
          <w:rFonts w:ascii="Times New Roman" w:hAnsi="Times New Roman" w:cs="Times New Roman"/>
          <w:sz w:val="24"/>
          <w:szCs w:val="24"/>
        </w:rPr>
        <w:t>НПО в Республике Казахстан. Государственный социальный заказ – один из эффективных и классических</w:t>
      </w:r>
    </w:p>
    <w:p w14:paraId="39105593" w14:textId="688320F9" w:rsidR="00A87B22" w:rsidRDefault="00EF3E2F" w:rsidP="00CC30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D68E1">
        <w:rPr>
          <w:rFonts w:ascii="Times New Roman" w:hAnsi="Times New Roman" w:cs="Times New Roman"/>
          <w:sz w:val="24"/>
          <w:szCs w:val="24"/>
        </w:rPr>
        <w:t>Сравнение механизмов государственного финансирования</w:t>
      </w:r>
      <w:r w:rsidR="00F50AEE" w:rsidRPr="008D68E1">
        <w:rPr>
          <w:rFonts w:ascii="Times New Roman" w:hAnsi="Times New Roman" w:cs="Times New Roman"/>
          <w:sz w:val="24"/>
          <w:szCs w:val="24"/>
        </w:rPr>
        <w:t xml:space="preserve"> </w:t>
      </w:r>
      <w:r w:rsidRPr="008D68E1">
        <w:rPr>
          <w:rFonts w:ascii="Times New Roman" w:hAnsi="Times New Roman" w:cs="Times New Roman"/>
          <w:sz w:val="24"/>
          <w:szCs w:val="24"/>
        </w:rPr>
        <w:t xml:space="preserve">и почему были </w:t>
      </w:r>
      <w:r w:rsidR="00F50AEE" w:rsidRPr="008D68E1">
        <w:rPr>
          <w:rFonts w:ascii="Times New Roman" w:hAnsi="Times New Roman" w:cs="Times New Roman"/>
          <w:sz w:val="24"/>
          <w:szCs w:val="24"/>
        </w:rPr>
        <w:t xml:space="preserve">распределены на государственный социальный заказ и государственные гранты. </w:t>
      </w:r>
      <w:r w:rsidR="00A71B13" w:rsidRPr="008D68E1">
        <w:rPr>
          <w:rFonts w:ascii="Times New Roman" w:hAnsi="Times New Roman" w:cs="Times New Roman"/>
          <w:sz w:val="24"/>
          <w:szCs w:val="24"/>
        </w:rPr>
        <w:t>Также участники ознакомились хронологией совершенствования государственного социального заказа</w:t>
      </w:r>
      <w:r w:rsidR="008D68E1" w:rsidRPr="008D68E1">
        <w:rPr>
          <w:rFonts w:ascii="Times New Roman" w:hAnsi="Times New Roman" w:cs="Times New Roman"/>
          <w:sz w:val="24"/>
          <w:szCs w:val="24"/>
        </w:rPr>
        <w:t xml:space="preserve"> с 2018 по 2022 годы.</w:t>
      </w:r>
      <w:r w:rsidR="008D68E1">
        <w:rPr>
          <w:rFonts w:ascii="Times New Roman" w:hAnsi="Times New Roman" w:cs="Times New Roman"/>
          <w:sz w:val="24"/>
          <w:szCs w:val="24"/>
        </w:rPr>
        <w:t xml:space="preserve"> Отметила, что ежегодно делается анализ данных по </w:t>
      </w:r>
      <w:r w:rsidR="002E7C7E">
        <w:rPr>
          <w:rFonts w:ascii="Times New Roman" w:hAnsi="Times New Roman" w:cs="Times New Roman"/>
          <w:sz w:val="24"/>
          <w:szCs w:val="24"/>
        </w:rPr>
        <w:t xml:space="preserve">выделенным </w:t>
      </w:r>
      <w:r w:rsidR="000B0ACF">
        <w:rPr>
          <w:rFonts w:ascii="Times New Roman" w:hAnsi="Times New Roman" w:cs="Times New Roman"/>
          <w:sz w:val="24"/>
          <w:szCs w:val="24"/>
        </w:rPr>
        <w:t xml:space="preserve">государственным заказам, </w:t>
      </w:r>
      <w:r w:rsidR="004D1A31">
        <w:rPr>
          <w:rFonts w:ascii="Times New Roman" w:hAnsi="Times New Roman" w:cs="Times New Roman"/>
          <w:sz w:val="24"/>
          <w:szCs w:val="24"/>
        </w:rPr>
        <w:t xml:space="preserve">в 2018 и 2019 годах </w:t>
      </w:r>
      <w:r w:rsidR="00536BBC">
        <w:rPr>
          <w:rFonts w:ascii="Times New Roman" w:hAnsi="Times New Roman" w:cs="Times New Roman"/>
          <w:sz w:val="24"/>
          <w:szCs w:val="24"/>
        </w:rPr>
        <w:t xml:space="preserve">формирование тем </w:t>
      </w:r>
      <w:proofErr w:type="spellStart"/>
      <w:r w:rsidR="00536BBC">
        <w:rPr>
          <w:rFonts w:ascii="Times New Roman" w:hAnsi="Times New Roman" w:cs="Times New Roman"/>
          <w:sz w:val="24"/>
          <w:szCs w:val="24"/>
        </w:rPr>
        <w:t>госсоцзаказа</w:t>
      </w:r>
      <w:proofErr w:type="spellEnd"/>
      <w:r w:rsidR="00536BBC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0B0ACF">
        <w:rPr>
          <w:rFonts w:ascii="Times New Roman" w:hAnsi="Times New Roman" w:cs="Times New Roman"/>
          <w:sz w:val="24"/>
          <w:szCs w:val="24"/>
        </w:rPr>
        <w:t xml:space="preserve"> публично</w:t>
      </w:r>
      <w:r w:rsidR="00536BBC">
        <w:rPr>
          <w:rFonts w:ascii="Times New Roman" w:hAnsi="Times New Roman" w:cs="Times New Roman"/>
          <w:sz w:val="24"/>
          <w:szCs w:val="24"/>
        </w:rPr>
        <w:t>го обсуждения</w:t>
      </w:r>
      <w:r w:rsidR="000B0ACF">
        <w:rPr>
          <w:rFonts w:ascii="Times New Roman" w:hAnsi="Times New Roman" w:cs="Times New Roman"/>
          <w:sz w:val="24"/>
          <w:szCs w:val="24"/>
        </w:rPr>
        <w:t xml:space="preserve"> по </w:t>
      </w:r>
      <w:r w:rsidR="00A76FB4">
        <w:rPr>
          <w:rFonts w:ascii="Times New Roman" w:hAnsi="Times New Roman" w:cs="Times New Roman"/>
          <w:sz w:val="24"/>
          <w:szCs w:val="24"/>
        </w:rPr>
        <w:t xml:space="preserve">принципу снизу-вверх, внедрены стандарты ГСЗ, демпинг цен сокращен с 50 до </w:t>
      </w:r>
      <w:r w:rsidR="004D1A31">
        <w:rPr>
          <w:rFonts w:ascii="Times New Roman" w:hAnsi="Times New Roman" w:cs="Times New Roman"/>
          <w:sz w:val="24"/>
          <w:szCs w:val="24"/>
        </w:rPr>
        <w:t>2</w:t>
      </w:r>
      <w:r w:rsidR="00A76FB4">
        <w:rPr>
          <w:rFonts w:ascii="Times New Roman" w:hAnsi="Times New Roman" w:cs="Times New Roman"/>
          <w:sz w:val="24"/>
          <w:szCs w:val="24"/>
        </w:rPr>
        <w:t>0%</w:t>
      </w:r>
      <w:r w:rsidR="004D1A31">
        <w:rPr>
          <w:rFonts w:ascii="Times New Roman" w:hAnsi="Times New Roman" w:cs="Times New Roman"/>
          <w:sz w:val="24"/>
          <w:szCs w:val="24"/>
        </w:rPr>
        <w:t xml:space="preserve">, </w:t>
      </w:r>
      <w:r w:rsidR="004010F6">
        <w:rPr>
          <w:rFonts w:ascii="Times New Roman" w:hAnsi="Times New Roman" w:cs="Times New Roman"/>
          <w:sz w:val="24"/>
          <w:szCs w:val="24"/>
        </w:rPr>
        <w:t>в 2020 -2021 годы</w:t>
      </w:r>
      <w:r w:rsidR="00A87B22">
        <w:rPr>
          <w:rFonts w:ascii="Times New Roman" w:hAnsi="Times New Roman" w:cs="Times New Roman"/>
          <w:sz w:val="24"/>
          <w:szCs w:val="24"/>
        </w:rPr>
        <w:t xml:space="preserve"> </w:t>
      </w:r>
      <w:r w:rsidR="004010F6">
        <w:rPr>
          <w:rFonts w:ascii="Times New Roman" w:hAnsi="Times New Roman" w:cs="Times New Roman"/>
          <w:sz w:val="24"/>
          <w:szCs w:val="24"/>
        </w:rPr>
        <w:t xml:space="preserve">внесены изменения в правила и стандарты, определены требования к онлайн </w:t>
      </w:r>
      <w:r w:rsidR="00A87B22">
        <w:rPr>
          <w:rFonts w:ascii="Times New Roman" w:hAnsi="Times New Roman" w:cs="Times New Roman"/>
          <w:sz w:val="24"/>
          <w:szCs w:val="24"/>
        </w:rPr>
        <w:t>формату проектов, определены требования для корректного формирования тем, изменены критерии мониторинга и оценки результатов ГСЗ.</w:t>
      </w:r>
      <w:r w:rsidR="00754855">
        <w:rPr>
          <w:rFonts w:ascii="Times New Roman" w:hAnsi="Times New Roman" w:cs="Times New Roman"/>
          <w:sz w:val="24"/>
          <w:szCs w:val="24"/>
        </w:rPr>
        <w:t xml:space="preserve"> В 2022 году в части конкурсных процедур демпинг цен </w:t>
      </w:r>
      <w:r w:rsidR="00457D4C">
        <w:rPr>
          <w:rFonts w:ascii="Times New Roman" w:hAnsi="Times New Roman" w:cs="Times New Roman"/>
          <w:sz w:val="24"/>
          <w:szCs w:val="24"/>
        </w:rPr>
        <w:t xml:space="preserve">сокращен с 20% до 10%, совершенствованы критерии отбора социальных проектов, </w:t>
      </w:r>
      <w:r w:rsidR="00A255E6">
        <w:rPr>
          <w:rFonts w:ascii="Times New Roman" w:hAnsi="Times New Roman" w:cs="Times New Roman"/>
          <w:sz w:val="24"/>
          <w:szCs w:val="24"/>
        </w:rPr>
        <w:t>предусмотрено предварительное осуждение технических спецификаций.</w:t>
      </w:r>
      <w:r w:rsidR="00887EE4">
        <w:rPr>
          <w:rFonts w:ascii="Times New Roman" w:hAnsi="Times New Roman" w:cs="Times New Roman"/>
          <w:sz w:val="24"/>
          <w:szCs w:val="24"/>
        </w:rPr>
        <w:t xml:space="preserve"> Внесены изменения в Закон о госзаказе, </w:t>
      </w:r>
      <w:r w:rsidR="00D14700">
        <w:rPr>
          <w:rFonts w:ascii="Times New Roman" w:hAnsi="Times New Roman" w:cs="Times New Roman"/>
          <w:sz w:val="24"/>
          <w:szCs w:val="24"/>
        </w:rPr>
        <w:t xml:space="preserve">предусмотрено обязательное вынесение тем по ГСЗ на совет по взаимодействию с НПО. </w:t>
      </w:r>
      <w:r w:rsidR="00D66F69">
        <w:rPr>
          <w:rFonts w:ascii="Times New Roman" w:hAnsi="Times New Roman" w:cs="Times New Roman"/>
          <w:sz w:val="24"/>
          <w:szCs w:val="24"/>
        </w:rPr>
        <w:t xml:space="preserve">Предоставлен сравнительный анализ по выделенным суммам с 2020 по 2022 годы. Отметила, что </w:t>
      </w:r>
      <w:r w:rsidR="00CB146D">
        <w:rPr>
          <w:rFonts w:ascii="Times New Roman" w:hAnsi="Times New Roman" w:cs="Times New Roman"/>
          <w:sz w:val="24"/>
          <w:szCs w:val="24"/>
        </w:rPr>
        <w:t>в 2022 году сократился объем финансирования из бюджета местных исполнительных органов</w:t>
      </w:r>
      <w:r w:rsidR="007A14DA">
        <w:rPr>
          <w:rFonts w:ascii="Times New Roman" w:hAnsi="Times New Roman" w:cs="Times New Roman"/>
          <w:sz w:val="24"/>
          <w:szCs w:val="24"/>
        </w:rPr>
        <w:t>. Суммы проектов по направлению «Охрана здоровья граждан и пропаганда здорового образа жизни»</w:t>
      </w:r>
      <w:r w:rsidR="00CE6CE2">
        <w:rPr>
          <w:rFonts w:ascii="Times New Roman" w:hAnsi="Times New Roman" w:cs="Times New Roman"/>
          <w:sz w:val="24"/>
          <w:szCs w:val="24"/>
        </w:rPr>
        <w:t xml:space="preserve"> по каждому региону. </w:t>
      </w:r>
      <w:r w:rsidR="002C195B">
        <w:rPr>
          <w:rFonts w:ascii="Times New Roman" w:hAnsi="Times New Roman" w:cs="Times New Roman"/>
          <w:sz w:val="24"/>
          <w:szCs w:val="24"/>
        </w:rPr>
        <w:t>Существует республиканский координационный комитет по взаимодействию в неправительственными организациями при МИОР РК</w:t>
      </w:r>
      <w:r w:rsidR="00AC6A9F">
        <w:rPr>
          <w:rFonts w:ascii="Times New Roman" w:hAnsi="Times New Roman" w:cs="Times New Roman"/>
          <w:sz w:val="24"/>
          <w:szCs w:val="24"/>
        </w:rPr>
        <w:t xml:space="preserve">. </w:t>
      </w:r>
      <w:r w:rsidR="0086707E">
        <w:rPr>
          <w:rFonts w:ascii="Times New Roman" w:hAnsi="Times New Roman" w:cs="Times New Roman"/>
          <w:sz w:val="24"/>
          <w:szCs w:val="24"/>
        </w:rPr>
        <w:t xml:space="preserve">Также были внедрены новые требования. </w:t>
      </w:r>
    </w:p>
    <w:p w14:paraId="0994ED71" w14:textId="4540BDD5" w:rsidR="003D2D2E" w:rsidRDefault="00CA5BB9" w:rsidP="00CC30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5BB9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Обс</w:t>
      </w:r>
      <w:r w:rsidR="007B2C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CA5BB9">
        <w:rPr>
          <w:rFonts w:ascii="Times New Roman" w:hAnsi="Times New Roman" w:cs="Times New Roman"/>
          <w:i/>
          <w:iCs/>
          <w:sz w:val="24"/>
          <w:szCs w:val="24"/>
        </w:rPr>
        <w:t>ждение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2D2E">
        <w:rPr>
          <w:rFonts w:ascii="Times New Roman" w:hAnsi="Times New Roman" w:cs="Times New Roman"/>
          <w:sz w:val="24"/>
          <w:szCs w:val="24"/>
        </w:rPr>
        <w:t>Участники обсуждали вопрос недостаточности средств</w:t>
      </w:r>
      <w:r w:rsidR="0031211A">
        <w:rPr>
          <w:rFonts w:ascii="Times New Roman" w:hAnsi="Times New Roman" w:cs="Times New Roman"/>
          <w:sz w:val="24"/>
          <w:szCs w:val="24"/>
        </w:rPr>
        <w:t xml:space="preserve"> для государственного социального заказа</w:t>
      </w:r>
      <w:r w:rsidR="007900AD">
        <w:rPr>
          <w:rFonts w:ascii="Times New Roman" w:hAnsi="Times New Roman" w:cs="Times New Roman"/>
          <w:sz w:val="24"/>
          <w:szCs w:val="24"/>
        </w:rPr>
        <w:t xml:space="preserve">. </w:t>
      </w:r>
      <w:r w:rsidR="00522970">
        <w:rPr>
          <w:rFonts w:ascii="Times New Roman" w:hAnsi="Times New Roman" w:cs="Times New Roman"/>
          <w:sz w:val="24"/>
          <w:szCs w:val="24"/>
        </w:rPr>
        <w:t>Отметили</w:t>
      </w:r>
      <w:r>
        <w:rPr>
          <w:rFonts w:ascii="Times New Roman" w:hAnsi="Times New Roman" w:cs="Times New Roman"/>
          <w:sz w:val="24"/>
          <w:szCs w:val="24"/>
        </w:rPr>
        <w:t xml:space="preserve"> отдельно </w:t>
      </w:r>
      <w:r w:rsidR="007B2CD2">
        <w:rPr>
          <w:rFonts w:ascii="Times New Roman" w:hAnsi="Times New Roman" w:cs="Times New Roman"/>
          <w:sz w:val="24"/>
          <w:szCs w:val="24"/>
        </w:rPr>
        <w:t>дотационные</w:t>
      </w:r>
      <w:r>
        <w:rPr>
          <w:rFonts w:ascii="Times New Roman" w:hAnsi="Times New Roman" w:cs="Times New Roman"/>
          <w:sz w:val="24"/>
          <w:szCs w:val="24"/>
        </w:rPr>
        <w:t xml:space="preserve"> области. </w:t>
      </w:r>
      <w:r w:rsidR="007B033D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971C9B">
        <w:rPr>
          <w:rFonts w:ascii="Times New Roman" w:hAnsi="Times New Roman" w:cs="Times New Roman"/>
          <w:sz w:val="24"/>
          <w:szCs w:val="24"/>
        </w:rPr>
        <w:t>п</w:t>
      </w:r>
      <w:r w:rsidR="007B033D">
        <w:rPr>
          <w:rFonts w:ascii="Times New Roman" w:hAnsi="Times New Roman" w:cs="Times New Roman"/>
          <w:sz w:val="24"/>
          <w:szCs w:val="24"/>
        </w:rPr>
        <w:t xml:space="preserve">осле проведения областных управлений по тематикам и результатам </w:t>
      </w:r>
      <w:r w:rsidR="00F17865">
        <w:rPr>
          <w:rFonts w:ascii="Times New Roman" w:hAnsi="Times New Roman" w:cs="Times New Roman"/>
          <w:sz w:val="24"/>
          <w:szCs w:val="24"/>
        </w:rPr>
        <w:t>реализации проектов.</w:t>
      </w:r>
      <w:r w:rsidR="00895507">
        <w:rPr>
          <w:rFonts w:ascii="Times New Roman" w:hAnsi="Times New Roman" w:cs="Times New Roman"/>
          <w:sz w:val="24"/>
          <w:szCs w:val="24"/>
        </w:rPr>
        <w:t xml:space="preserve"> Важно выносить вопрос на </w:t>
      </w:r>
      <w:r w:rsidR="00971C9B">
        <w:rPr>
          <w:rFonts w:ascii="Times New Roman" w:hAnsi="Times New Roman" w:cs="Times New Roman"/>
          <w:sz w:val="24"/>
          <w:szCs w:val="24"/>
        </w:rPr>
        <w:t>координационный</w:t>
      </w:r>
      <w:r w:rsidR="00CC369C">
        <w:rPr>
          <w:rFonts w:ascii="Times New Roman" w:hAnsi="Times New Roman" w:cs="Times New Roman"/>
          <w:sz w:val="24"/>
          <w:szCs w:val="24"/>
        </w:rPr>
        <w:t xml:space="preserve"> совет по взаимодействию с НПО</w:t>
      </w:r>
      <w:r w:rsidR="00971C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6AA9E" w14:textId="77777777" w:rsidR="00C647BC" w:rsidRPr="00754855" w:rsidRDefault="00C647BC" w:rsidP="00CC30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4F57D9F" w14:textId="320E5747" w:rsidR="0040531F" w:rsidRPr="004C5A98" w:rsidRDefault="0040531F" w:rsidP="0040531F">
      <w:pPr>
        <w:jc w:val="both"/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</w:pPr>
      <w:r w:rsidRPr="004C5A98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Вопрос 2. </w:t>
      </w:r>
      <w:r w:rsidRPr="004C5A98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Информационные панели для мониторинга воздействия COVID-19 для программ, реализуемых в рамках государственных грантов для НПО.</w:t>
      </w:r>
    </w:p>
    <w:p w14:paraId="46E077AE" w14:textId="697634E6" w:rsidR="0040531F" w:rsidRPr="0086791C" w:rsidRDefault="00A86F48" w:rsidP="0040531F">
      <w:pPr>
        <w:pStyle w:val="a6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Докладчик - </w:t>
      </w:r>
      <w:proofErr w:type="spellStart"/>
      <w:r w:rsidR="0040531F" w:rsidRPr="008679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Құрман</w:t>
      </w:r>
      <w:proofErr w:type="spellEnd"/>
      <w:r w:rsidR="0040531F" w:rsidRPr="008679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40531F" w:rsidRPr="008679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Ғалым</w:t>
      </w:r>
      <w:proofErr w:type="spellEnd"/>
      <w:r w:rsidR="0040531F" w:rsidRPr="008679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40531F" w:rsidRPr="008679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Полатұлы</w:t>
      </w:r>
      <w:proofErr w:type="spellEnd"/>
      <w:r w:rsidR="0040531F" w:rsidRPr="008679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40531F" w:rsidRPr="0086791C">
        <w:rPr>
          <w:rStyle w:val="a7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>Председатель правления НАО "Центр поддержки гражданских инициатив"</w:t>
      </w:r>
    </w:p>
    <w:p w14:paraId="4B1B7B3D" w14:textId="3806D25D" w:rsidR="002F358D" w:rsidRDefault="002F358D" w:rsidP="00C77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10516" w14:textId="49956D1B" w:rsidR="004C5A98" w:rsidRDefault="005222F7" w:rsidP="00C77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представлен на государственном языке. </w:t>
      </w:r>
      <w:r w:rsidR="001D5C02">
        <w:rPr>
          <w:rFonts w:ascii="Times New Roman" w:hAnsi="Times New Roman" w:cs="Times New Roman"/>
          <w:sz w:val="24"/>
          <w:szCs w:val="24"/>
        </w:rPr>
        <w:t xml:space="preserve">Внедрены новые практики внедрения Государственных грантов по принципу снизу вверх. </w:t>
      </w:r>
      <w:r w:rsidR="00ED4EE0">
        <w:rPr>
          <w:rFonts w:ascii="Times New Roman" w:hAnsi="Times New Roman" w:cs="Times New Roman"/>
          <w:sz w:val="24"/>
          <w:szCs w:val="24"/>
        </w:rPr>
        <w:t xml:space="preserve">Цифровые технологии мы считаем дадут более прозрачные данные по освоению результатов. В 2020 году были реализованы 2 </w:t>
      </w:r>
      <w:proofErr w:type="gramStart"/>
      <w:r w:rsidR="00ED4EE0">
        <w:rPr>
          <w:rFonts w:ascii="Times New Roman" w:hAnsi="Times New Roman" w:cs="Times New Roman"/>
          <w:sz w:val="24"/>
          <w:szCs w:val="24"/>
        </w:rPr>
        <w:t>млрд.</w:t>
      </w:r>
      <w:proofErr w:type="gramEnd"/>
      <w:r w:rsidR="00ED4EE0">
        <w:rPr>
          <w:rFonts w:ascii="Times New Roman" w:hAnsi="Times New Roman" w:cs="Times New Roman"/>
          <w:sz w:val="24"/>
          <w:szCs w:val="24"/>
        </w:rPr>
        <w:t xml:space="preserve"> тенге.</w:t>
      </w:r>
      <w:r w:rsidR="007666D0">
        <w:rPr>
          <w:rFonts w:ascii="Times New Roman" w:hAnsi="Times New Roman" w:cs="Times New Roman"/>
          <w:sz w:val="24"/>
          <w:szCs w:val="24"/>
        </w:rPr>
        <w:t xml:space="preserve"> Всего было реализовано 7 национальных проектов «Б</w:t>
      </w:r>
      <w:r w:rsidR="008A09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66D0">
        <w:rPr>
          <w:rFonts w:ascii="Times New Roman" w:hAnsi="Times New Roman" w:cs="Times New Roman"/>
          <w:sz w:val="24"/>
          <w:szCs w:val="24"/>
        </w:rPr>
        <w:t>з б</w:t>
      </w:r>
      <w:r w:rsidR="008A09E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="007666D0">
        <w:rPr>
          <w:rFonts w:ascii="Times New Roman" w:hAnsi="Times New Roman" w:cs="Times New Roman"/>
          <w:sz w:val="24"/>
          <w:szCs w:val="24"/>
        </w:rPr>
        <w:t>ргем</w:t>
      </w:r>
      <w:proofErr w:type="spellEnd"/>
      <w:r w:rsidR="008A09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66D0">
        <w:rPr>
          <w:rFonts w:ascii="Times New Roman" w:hAnsi="Times New Roman" w:cs="Times New Roman"/>
          <w:sz w:val="24"/>
          <w:szCs w:val="24"/>
        </w:rPr>
        <w:t>з». В рамках данного проекта были привлечены волонтеры и была оказана паллиативная помощь.</w:t>
      </w:r>
      <w:r w:rsidR="008A09E5">
        <w:rPr>
          <w:rFonts w:ascii="Times New Roman" w:hAnsi="Times New Roman" w:cs="Times New Roman"/>
          <w:sz w:val="24"/>
          <w:szCs w:val="24"/>
        </w:rPr>
        <w:t xml:space="preserve"> Вклад волонтеров был неоценимым во время пандемии </w:t>
      </w:r>
      <w:r w:rsidR="008A09E5">
        <w:rPr>
          <w:rFonts w:ascii="Times New Roman" w:hAnsi="Times New Roman" w:cs="Times New Roman"/>
          <w:sz w:val="24"/>
          <w:szCs w:val="24"/>
          <w:lang w:val="en-US"/>
        </w:rPr>
        <w:t xml:space="preserve">COVID-19. </w:t>
      </w:r>
    </w:p>
    <w:p w14:paraId="04879162" w14:textId="58C26A4F" w:rsidR="008A09E5" w:rsidRDefault="008A09E5" w:rsidP="00C77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поднимались вопросы </w:t>
      </w:r>
      <w:r w:rsidR="007A730B">
        <w:rPr>
          <w:rFonts w:ascii="Times New Roman" w:hAnsi="Times New Roman" w:cs="Times New Roman"/>
          <w:sz w:val="24"/>
          <w:szCs w:val="24"/>
        </w:rPr>
        <w:t>необходимости внесения изменени</w:t>
      </w:r>
      <w:r w:rsidR="009D3D5B">
        <w:rPr>
          <w:rFonts w:ascii="Times New Roman" w:hAnsi="Times New Roman" w:cs="Times New Roman"/>
          <w:sz w:val="24"/>
          <w:szCs w:val="24"/>
        </w:rPr>
        <w:t>й в нормативно-правовые акты</w:t>
      </w:r>
      <w:r w:rsidR="007A730B">
        <w:rPr>
          <w:rFonts w:ascii="Times New Roman" w:hAnsi="Times New Roman" w:cs="Times New Roman"/>
          <w:sz w:val="24"/>
          <w:szCs w:val="24"/>
        </w:rPr>
        <w:t xml:space="preserve"> во время чрезвычайных ситуаций</w:t>
      </w:r>
      <w:r w:rsidR="00136DCB">
        <w:rPr>
          <w:rFonts w:ascii="Times New Roman" w:hAnsi="Times New Roman" w:cs="Times New Roman"/>
          <w:sz w:val="24"/>
          <w:szCs w:val="24"/>
        </w:rPr>
        <w:t xml:space="preserve"> </w:t>
      </w:r>
      <w:r w:rsidR="003D3DD0" w:rsidRPr="003D3DD0">
        <w:rPr>
          <w:rFonts w:ascii="Times New Roman" w:hAnsi="Times New Roman" w:cs="Times New Roman"/>
          <w:sz w:val="24"/>
          <w:szCs w:val="24"/>
        </w:rPr>
        <w:t>с</w:t>
      </w:r>
      <w:r w:rsidR="00136DCB" w:rsidRPr="003D3DD0">
        <w:rPr>
          <w:rFonts w:ascii="Times New Roman" w:hAnsi="Times New Roman" w:cs="Times New Roman"/>
          <w:sz w:val="24"/>
          <w:szCs w:val="24"/>
        </w:rPr>
        <w:t xml:space="preserve"> проявлением гибкости</w:t>
      </w:r>
      <w:r w:rsidR="007A730B">
        <w:rPr>
          <w:rFonts w:ascii="Times New Roman" w:hAnsi="Times New Roman" w:cs="Times New Roman"/>
          <w:sz w:val="24"/>
          <w:szCs w:val="24"/>
        </w:rPr>
        <w:t xml:space="preserve">. </w:t>
      </w:r>
      <w:r w:rsidR="003655E8">
        <w:rPr>
          <w:rFonts w:ascii="Times New Roman" w:hAnsi="Times New Roman" w:cs="Times New Roman"/>
          <w:sz w:val="24"/>
          <w:szCs w:val="24"/>
        </w:rPr>
        <w:t xml:space="preserve">Данное предложение просили в рекомендации. </w:t>
      </w:r>
      <w:r w:rsidR="00CA4D3F">
        <w:rPr>
          <w:rFonts w:ascii="Times New Roman" w:hAnsi="Times New Roman" w:cs="Times New Roman"/>
          <w:sz w:val="24"/>
          <w:szCs w:val="24"/>
        </w:rPr>
        <w:t>Предложено,</w:t>
      </w:r>
      <w:r w:rsidR="00931CA6">
        <w:rPr>
          <w:rFonts w:ascii="Times New Roman" w:hAnsi="Times New Roman" w:cs="Times New Roman"/>
          <w:sz w:val="24"/>
          <w:szCs w:val="24"/>
        </w:rPr>
        <w:t xml:space="preserve"> </w:t>
      </w:r>
      <w:r w:rsidR="007B0420">
        <w:rPr>
          <w:rFonts w:ascii="Times New Roman" w:hAnsi="Times New Roman" w:cs="Times New Roman"/>
          <w:sz w:val="24"/>
          <w:szCs w:val="24"/>
        </w:rPr>
        <w:t xml:space="preserve">неправительственным организациям </w:t>
      </w:r>
      <w:r w:rsidR="00931CA6">
        <w:rPr>
          <w:rFonts w:ascii="Times New Roman" w:hAnsi="Times New Roman" w:cs="Times New Roman"/>
          <w:sz w:val="24"/>
          <w:szCs w:val="24"/>
        </w:rPr>
        <w:t xml:space="preserve">чтобы занимались адвокацией выделения средств </w:t>
      </w:r>
      <w:r w:rsidR="003D3DD0">
        <w:rPr>
          <w:rFonts w:ascii="Times New Roman" w:hAnsi="Times New Roman" w:cs="Times New Roman"/>
          <w:sz w:val="24"/>
          <w:szCs w:val="24"/>
        </w:rPr>
        <w:t xml:space="preserve">на местном уровне, так </w:t>
      </w:r>
      <w:r w:rsidR="007F2D9D">
        <w:rPr>
          <w:rFonts w:ascii="Times New Roman" w:hAnsi="Times New Roman" w:cs="Times New Roman"/>
          <w:sz w:val="24"/>
          <w:szCs w:val="24"/>
        </w:rPr>
        <w:t>как, согласно Закону,</w:t>
      </w:r>
      <w:r w:rsidR="003D3DD0">
        <w:rPr>
          <w:rFonts w:ascii="Times New Roman" w:hAnsi="Times New Roman" w:cs="Times New Roman"/>
          <w:sz w:val="24"/>
          <w:szCs w:val="24"/>
        </w:rPr>
        <w:t xml:space="preserve"> могу</w:t>
      </w:r>
      <w:r w:rsidR="00466461">
        <w:rPr>
          <w:rFonts w:ascii="Times New Roman" w:hAnsi="Times New Roman" w:cs="Times New Roman"/>
          <w:sz w:val="24"/>
          <w:szCs w:val="24"/>
        </w:rPr>
        <w:t xml:space="preserve">т выделяться 3-летние гранты. </w:t>
      </w:r>
    </w:p>
    <w:p w14:paraId="72231F87" w14:textId="061C4AB3" w:rsidR="00A24049" w:rsidRDefault="00CA4D3F" w:rsidP="00C77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Экономическое</w:t>
      </w:r>
      <w:r w:rsidR="00A24049">
        <w:rPr>
          <w:rFonts w:ascii="Times New Roman" w:hAnsi="Times New Roman" w:cs="Times New Roman"/>
          <w:sz w:val="24"/>
          <w:szCs w:val="24"/>
        </w:rPr>
        <w:t xml:space="preserve"> обоснование </w:t>
      </w:r>
      <w:r>
        <w:rPr>
          <w:rFonts w:ascii="Times New Roman" w:hAnsi="Times New Roman" w:cs="Times New Roman"/>
          <w:sz w:val="24"/>
          <w:szCs w:val="24"/>
        </w:rPr>
        <w:t xml:space="preserve">были ли разработаны для каждого гранта. </w:t>
      </w:r>
      <w:r w:rsidR="00420911">
        <w:rPr>
          <w:rFonts w:ascii="Times New Roman" w:hAnsi="Times New Roman" w:cs="Times New Roman"/>
          <w:sz w:val="24"/>
          <w:szCs w:val="24"/>
        </w:rPr>
        <w:t>Средняя заработная плата по Казахстану если 340 тыс</w:t>
      </w:r>
      <w:r w:rsidR="00420B04">
        <w:rPr>
          <w:rFonts w:ascii="Times New Roman" w:hAnsi="Times New Roman" w:cs="Times New Roman"/>
          <w:sz w:val="24"/>
          <w:szCs w:val="24"/>
        </w:rPr>
        <w:t>.</w:t>
      </w:r>
      <w:r w:rsidR="00420911">
        <w:rPr>
          <w:rFonts w:ascii="Times New Roman" w:hAnsi="Times New Roman" w:cs="Times New Roman"/>
          <w:sz w:val="24"/>
          <w:szCs w:val="24"/>
        </w:rPr>
        <w:t xml:space="preserve"> тенге, почему в государственных грантах для НПО ставится лимит 120 тыс. тенге</w:t>
      </w:r>
      <w:r w:rsidR="006A17C3">
        <w:rPr>
          <w:rFonts w:ascii="Times New Roman" w:hAnsi="Times New Roman" w:cs="Times New Roman"/>
          <w:sz w:val="24"/>
          <w:szCs w:val="24"/>
        </w:rPr>
        <w:t xml:space="preserve"> и при этом важно быть экспертами. </w:t>
      </w:r>
      <w:r w:rsidR="0099616B">
        <w:rPr>
          <w:rFonts w:ascii="Times New Roman" w:hAnsi="Times New Roman" w:cs="Times New Roman"/>
          <w:sz w:val="24"/>
          <w:szCs w:val="24"/>
        </w:rPr>
        <w:t xml:space="preserve">В </w:t>
      </w:r>
      <w:r w:rsidR="00420B04">
        <w:rPr>
          <w:rFonts w:ascii="Times New Roman" w:hAnsi="Times New Roman" w:cs="Times New Roman"/>
          <w:sz w:val="24"/>
          <w:szCs w:val="24"/>
        </w:rPr>
        <w:t>методиках утверждены</w:t>
      </w:r>
      <w:r w:rsidR="0099616B">
        <w:rPr>
          <w:rFonts w:ascii="Times New Roman" w:hAnsi="Times New Roman" w:cs="Times New Roman"/>
          <w:sz w:val="24"/>
          <w:szCs w:val="24"/>
        </w:rPr>
        <w:t xml:space="preserve"> соотношения по </w:t>
      </w:r>
      <w:r w:rsidR="00C816A1">
        <w:rPr>
          <w:rFonts w:ascii="Times New Roman" w:hAnsi="Times New Roman" w:cs="Times New Roman"/>
          <w:sz w:val="24"/>
          <w:szCs w:val="24"/>
        </w:rPr>
        <w:t xml:space="preserve">распределению финансированию </w:t>
      </w:r>
    </w:p>
    <w:p w14:paraId="56026FC7" w14:textId="13FCCC0C" w:rsidR="00584B6D" w:rsidRPr="00584B6D" w:rsidRDefault="00584B6D" w:rsidP="00584B6D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B6D">
        <w:rPr>
          <w:rFonts w:ascii="Times New Roman" w:hAnsi="Times New Roman" w:cs="Times New Roman"/>
          <w:b/>
          <w:bCs/>
          <w:sz w:val="24"/>
          <w:szCs w:val="24"/>
        </w:rPr>
        <w:t xml:space="preserve">Вопрос 3. </w:t>
      </w:r>
      <w:r w:rsidRPr="00584B6D">
        <w:rPr>
          <w:rFonts w:ascii="Times New Roman" w:hAnsi="Times New Roman" w:cs="Times New Roman"/>
          <w:b/>
          <w:bCs/>
          <w:sz w:val="24"/>
          <w:szCs w:val="24"/>
        </w:rPr>
        <w:t xml:space="preserve">Влияние пандемии </w:t>
      </w:r>
      <w:r w:rsidRPr="00584B6D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</w:t>
      </w:r>
      <w:r w:rsidRPr="00584B6D">
        <w:rPr>
          <w:rFonts w:ascii="Times New Roman" w:hAnsi="Times New Roman" w:cs="Times New Roman"/>
          <w:b/>
          <w:bCs/>
          <w:sz w:val="24"/>
          <w:szCs w:val="24"/>
        </w:rPr>
        <w:t>-19 для НПО, работающих в Центральной Азии.</w:t>
      </w:r>
    </w:p>
    <w:p w14:paraId="30D18C7A" w14:textId="6073B242" w:rsidR="00420911" w:rsidRDefault="00A86F48" w:rsidP="00584B6D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- </w:t>
      </w:r>
      <w:r w:rsidR="00584B6D" w:rsidRPr="00584B6D">
        <w:rPr>
          <w:rFonts w:ascii="Times New Roman" w:hAnsi="Times New Roman" w:cs="Times New Roman"/>
          <w:i/>
          <w:iCs/>
          <w:sz w:val="24"/>
          <w:szCs w:val="24"/>
        </w:rPr>
        <w:t>Аманжолов Нурали, президент ОЮЛ «Казахстанский Союз людей, живущих с ВИЧ», член надзорного комитета СКК</w:t>
      </w:r>
      <w:r w:rsidR="00584B6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9821014" w14:textId="77777777" w:rsidR="00584B6D" w:rsidRPr="00584B6D" w:rsidRDefault="00584B6D" w:rsidP="00584B6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6326DC4" w14:textId="25B175AC" w:rsidR="00ED4EE0" w:rsidRDefault="00F25B58" w:rsidP="00C77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Отметил </w:t>
      </w:r>
      <w:r w:rsidR="00E618CD">
        <w:rPr>
          <w:rFonts w:ascii="Times New Roman" w:hAnsi="Times New Roman" w:cs="Times New Roman"/>
          <w:sz w:val="24"/>
          <w:szCs w:val="24"/>
        </w:rPr>
        <w:t xml:space="preserve">серьезность проблем и доступность средств индивидуальной защиты. </w:t>
      </w:r>
      <w:r w:rsidR="00591597">
        <w:rPr>
          <w:rFonts w:ascii="Times New Roman" w:hAnsi="Times New Roman" w:cs="Times New Roman"/>
          <w:sz w:val="24"/>
          <w:szCs w:val="24"/>
        </w:rPr>
        <w:t>Доноры проявили гибкость и провести бюджетную ревизию, чтобы суммы не состоявшихся мероприятий пер</w:t>
      </w:r>
      <w:r w:rsidR="00341B2A">
        <w:rPr>
          <w:rFonts w:ascii="Times New Roman" w:hAnsi="Times New Roman" w:cs="Times New Roman"/>
          <w:sz w:val="24"/>
          <w:szCs w:val="24"/>
        </w:rPr>
        <w:t xml:space="preserve">ераспределить на покрытие расходов тех пациентов у кого образовалась задолженность </w:t>
      </w:r>
      <w:r w:rsidR="00F55E1A">
        <w:rPr>
          <w:rFonts w:ascii="Times New Roman" w:hAnsi="Times New Roman" w:cs="Times New Roman"/>
          <w:sz w:val="24"/>
          <w:szCs w:val="24"/>
        </w:rPr>
        <w:t xml:space="preserve">по линии медицинского страхования. Была </w:t>
      </w:r>
      <w:r w:rsidR="003C1577">
        <w:rPr>
          <w:rFonts w:ascii="Times New Roman" w:hAnsi="Times New Roman" w:cs="Times New Roman"/>
          <w:sz w:val="24"/>
          <w:szCs w:val="24"/>
        </w:rPr>
        <w:t>предоставлена помощь тем, кто</w:t>
      </w:r>
    </w:p>
    <w:p w14:paraId="23FC0035" w14:textId="3018599C" w:rsidR="00BE6E8B" w:rsidRDefault="00C81CBF" w:rsidP="00C77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обсуждали</w:t>
      </w:r>
      <w:r w:rsidR="0065655E">
        <w:rPr>
          <w:rFonts w:ascii="Times New Roman" w:hAnsi="Times New Roman" w:cs="Times New Roman"/>
          <w:sz w:val="24"/>
          <w:szCs w:val="24"/>
        </w:rPr>
        <w:t xml:space="preserve">, что есть возможность выработки предложений рекомендаций </w:t>
      </w:r>
      <w:r w:rsidR="00223812">
        <w:rPr>
          <w:rFonts w:ascii="Times New Roman" w:hAnsi="Times New Roman" w:cs="Times New Roman"/>
          <w:sz w:val="24"/>
          <w:szCs w:val="24"/>
        </w:rPr>
        <w:t xml:space="preserve">для обсуждения с международными организациями для построения дальнейших совместных планов мероприятий. </w:t>
      </w:r>
      <w:r w:rsidR="00BB4C44">
        <w:rPr>
          <w:rFonts w:ascii="Times New Roman" w:hAnsi="Times New Roman" w:cs="Times New Roman"/>
          <w:sz w:val="24"/>
          <w:szCs w:val="24"/>
        </w:rPr>
        <w:t xml:space="preserve">Участники отметили, что существует потребность в организации </w:t>
      </w:r>
      <w:r w:rsidR="006639EA">
        <w:rPr>
          <w:rFonts w:ascii="Times New Roman" w:hAnsi="Times New Roman" w:cs="Times New Roman"/>
          <w:sz w:val="24"/>
          <w:szCs w:val="24"/>
        </w:rPr>
        <w:t xml:space="preserve">цикла тренингов для </w:t>
      </w:r>
      <w:r w:rsidR="00BB4C44">
        <w:rPr>
          <w:rFonts w:ascii="Times New Roman" w:hAnsi="Times New Roman" w:cs="Times New Roman"/>
          <w:sz w:val="24"/>
          <w:szCs w:val="24"/>
        </w:rPr>
        <w:t xml:space="preserve">специалистов по закупкам </w:t>
      </w:r>
      <w:r w:rsidR="008766DB">
        <w:rPr>
          <w:rFonts w:ascii="Times New Roman" w:hAnsi="Times New Roman" w:cs="Times New Roman"/>
          <w:sz w:val="24"/>
          <w:szCs w:val="24"/>
        </w:rPr>
        <w:t xml:space="preserve">областных управлений здравоохранения областей и городов. </w:t>
      </w:r>
    </w:p>
    <w:p w14:paraId="62C9FC86" w14:textId="0D60C0F5" w:rsidR="006639EA" w:rsidRPr="006639EA" w:rsidRDefault="006639EA" w:rsidP="00D61373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9EA">
        <w:rPr>
          <w:rFonts w:ascii="Times New Roman" w:hAnsi="Times New Roman" w:cs="Times New Roman"/>
          <w:b/>
          <w:bCs/>
          <w:sz w:val="24"/>
          <w:szCs w:val="24"/>
        </w:rPr>
        <w:t xml:space="preserve">Вопрос 4. </w:t>
      </w:r>
      <w:r w:rsidRPr="006639EA">
        <w:rPr>
          <w:rFonts w:ascii="Times New Roman" w:hAnsi="Times New Roman" w:cs="Times New Roman"/>
          <w:b/>
          <w:bCs/>
          <w:sz w:val="24"/>
          <w:szCs w:val="24"/>
        </w:rPr>
        <w:t xml:space="preserve">Влияние пандемии </w:t>
      </w:r>
      <w:r w:rsidRPr="006639EA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</w:t>
      </w:r>
      <w:r w:rsidRPr="006639EA">
        <w:rPr>
          <w:rFonts w:ascii="Times New Roman" w:hAnsi="Times New Roman" w:cs="Times New Roman"/>
          <w:b/>
          <w:bCs/>
          <w:sz w:val="24"/>
          <w:szCs w:val="24"/>
        </w:rPr>
        <w:t>-19 для НПО, работающих по поддержке противотуберкулёзной программы в Казахстане.</w:t>
      </w:r>
    </w:p>
    <w:p w14:paraId="4F62045D" w14:textId="577B2986" w:rsidR="00541627" w:rsidRPr="006639EA" w:rsidRDefault="00A86F48" w:rsidP="006639E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- </w:t>
      </w:r>
      <w:r w:rsidR="006639EA" w:rsidRPr="006639EA">
        <w:rPr>
          <w:rFonts w:ascii="Times New Roman" w:hAnsi="Times New Roman" w:cs="Times New Roman"/>
          <w:i/>
          <w:iCs/>
          <w:sz w:val="24"/>
          <w:szCs w:val="24"/>
        </w:rPr>
        <w:t>Пак Александр, Председатель ОФ «Союза пациентов Казахстана»</w:t>
      </w:r>
    </w:p>
    <w:p w14:paraId="1CE0D1CF" w14:textId="3B0C97D2" w:rsidR="00541627" w:rsidRDefault="00541627" w:rsidP="00AB5F49">
      <w:pPr>
        <w:pStyle w:val="a6"/>
      </w:pPr>
    </w:p>
    <w:p w14:paraId="0F213852" w14:textId="54EE5F2A" w:rsidR="00A1065C" w:rsidRPr="00AB5F49" w:rsidRDefault="00DC03EF" w:rsidP="00AB5F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5F49">
        <w:rPr>
          <w:rFonts w:ascii="Times New Roman" w:hAnsi="Times New Roman" w:cs="Times New Roman"/>
          <w:sz w:val="24"/>
          <w:szCs w:val="24"/>
        </w:rPr>
        <w:t xml:space="preserve">Участникам был представлен положительный и негативный опыт влияния пандемии COVID-19 для НПО, работающих по проблемам противотуберкулезной программы. </w:t>
      </w:r>
      <w:r w:rsidR="00DF2E55" w:rsidRPr="00AB5F49">
        <w:rPr>
          <w:rFonts w:ascii="Times New Roman" w:hAnsi="Times New Roman" w:cs="Times New Roman"/>
          <w:sz w:val="24"/>
          <w:szCs w:val="24"/>
        </w:rPr>
        <w:t xml:space="preserve">В числе положительных влияний были отмечены следующие направления: </w:t>
      </w:r>
      <w:r w:rsidR="00A1065C" w:rsidRPr="00AB5F49">
        <w:rPr>
          <w:rFonts w:ascii="Times New Roman" w:hAnsi="Times New Roman" w:cs="Times New Roman"/>
          <w:sz w:val="24"/>
          <w:szCs w:val="24"/>
        </w:rPr>
        <w:t>м</w:t>
      </w:r>
      <w:r w:rsidR="00A1065C" w:rsidRPr="00AB5F49">
        <w:rPr>
          <w:rFonts w:ascii="Times New Roman" w:hAnsi="Times New Roman" w:cs="Times New Roman"/>
          <w:sz w:val="24"/>
          <w:szCs w:val="24"/>
        </w:rPr>
        <w:t>обилизация ТБ службы в условиях карантина</w:t>
      </w:r>
      <w:r w:rsidR="00A1065C" w:rsidRPr="00AB5F49">
        <w:rPr>
          <w:rFonts w:ascii="Times New Roman" w:hAnsi="Times New Roman" w:cs="Times New Roman"/>
          <w:sz w:val="24"/>
          <w:szCs w:val="24"/>
        </w:rPr>
        <w:t>, у</w:t>
      </w:r>
      <w:r w:rsidR="00A1065C" w:rsidRPr="00AB5F49">
        <w:rPr>
          <w:rFonts w:ascii="Times New Roman" w:hAnsi="Times New Roman" w:cs="Times New Roman"/>
          <w:sz w:val="24"/>
          <w:szCs w:val="24"/>
        </w:rPr>
        <w:t>силение мер инфекционного контроля</w:t>
      </w:r>
      <w:r w:rsidR="00A1065C" w:rsidRPr="00AB5F49">
        <w:rPr>
          <w:rFonts w:ascii="Times New Roman" w:hAnsi="Times New Roman" w:cs="Times New Roman"/>
          <w:sz w:val="24"/>
          <w:szCs w:val="24"/>
        </w:rPr>
        <w:t>, д</w:t>
      </w:r>
      <w:r w:rsidR="00A1065C" w:rsidRPr="00AB5F49">
        <w:rPr>
          <w:rFonts w:ascii="Times New Roman" w:hAnsi="Times New Roman" w:cs="Times New Roman"/>
          <w:sz w:val="24"/>
          <w:szCs w:val="24"/>
        </w:rPr>
        <w:t>ополнительные знания, навыки и опыт, полученные персоналом</w:t>
      </w:r>
      <w:r w:rsidR="00A1065C" w:rsidRPr="00AB5F49">
        <w:rPr>
          <w:rFonts w:ascii="Times New Roman" w:hAnsi="Times New Roman" w:cs="Times New Roman"/>
          <w:sz w:val="24"/>
          <w:szCs w:val="24"/>
        </w:rPr>
        <w:t xml:space="preserve">, </w:t>
      </w:r>
      <w:r w:rsidR="001241FA" w:rsidRPr="00AB5F49">
        <w:rPr>
          <w:rFonts w:ascii="Times New Roman" w:hAnsi="Times New Roman" w:cs="Times New Roman"/>
          <w:sz w:val="24"/>
          <w:szCs w:val="24"/>
        </w:rPr>
        <w:t>с</w:t>
      </w:r>
      <w:r w:rsidR="00A1065C" w:rsidRPr="00AB5F49">
        <w:rPr>
          <w:rFonts w:ascii="Times New Roman" w:hAnsi="Times New Roman" w:cs="Times New Roman"/>
          <w:sz w:val="24"/>
          <w:szCs w:val="24"/>
        </w:rPr>
        <w:t xml:space="preserve">вязь и взаимодействия с другими </w:t>
      </w:r>
      <w:r w:rsidR="00A1065C" w:rsidRPr="00AB5F49">
        <w:rPr>
          <w:rFonts w:ascii="Times New Roman" w:hAnsi="Times New Roman" w:cs="Times New Roman"/>
          <w:sz w:val="24"/>
          <w:szCs w:val="24"/>
        </w:rPr>
        <w:lastRenderedPageBreak/>
        <w:t>службами, силы ПМСП брошены на борьбу с КВИ</w:t>
      </w:r>
      <w:r w:rsidR="001241FA" w:rsidRPr="00AB5F49">
        <w:rPr>
          <w:rFonts w:ascii="Times New Roman" w:hAnsi="Times New Roman" w:cs="Times New Roman"/>
          <w:sz w:val="24"/>
          <w:szCs w:val="24"/>
        </w:rPr>
        <w:t>, у</w:t>
      </w:r>
      <w:r w:rsidR="00A1065C" w:rsidRPr="00AB5F49">
        <w:rPr>
          <w:rFonts w:ascii="Times New Roman" w:hAnsi="Times New Roman" w:cs="Times New Roman"/>
          <w:sz w:val="24"/>
          <w:szCs w:val="24"/>
        </w:rPr>
        <w:t>лучшение обеспечения оборудованием (кислородные концентраты, ИВЛ-аппараты и др.) и средствами индивидуальных мер ИК</w:t>
      </w:r>
      <w:r w:rsidR="001241FA" w:rsidRPr="00AB5F4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B45622" w14:textId="2C4E9A96" w:rsidR="00880228" w:rsidRPr="00B51E93" w:rsidRDefault="001241FA" w:rsidP="00B51E9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065C" w:rsidRPr="00A1065C">
        <w:rPr>
          <w:rFonts w:ascii="Times New Roman" w:hAnsi="Times New Roman" w:cs="Times New Roman"/>
          <w:sz w:val="24"/>
          <w:szCs w:val="24"/>
        </w:rPr>
        <w:t>асширение и развитие дистанционных методов обучения, МиО и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2E55" w:rsidRPr="00B51E93">
        <w:rPr>
          <w:rFonts w:ascii="Times New Roman" w:hAnsi="Times New Roman" w:cs="Times New Roman"/>
          <w:sz w:val="24"/>
          <w:szCs w:val="24"/>
        </w:rPr>
        <w:t>В числе отрицательных результатов были пр</w:t>
      </w:r>
      <w:r w:rsidR="00880228" w:rsidRPr="00B51E93">
        <w:rPr>
          <w:rFonts w:ascii="Times New Roman" w:hAnsi="Times New Roman" w:cs="Times New Roman"/>
          <w:sz w:val="24"/>
          <w:szCs w:val="24"/>
        </w:rPr>
        <w:t xml:space="preserve">едставлены следующие направления: </w:t>
      </w:r>
      <w:r w:rsidR="00B51E93" w:rsidRPr="00B51E93">
        <w:rPr>
          <w:rFonts w:ascii="Times New Roman" w:hAnsi="Times New Roman" w:cs="Times New Roman"/>
          <w:sz w:val="24"/>
          <w:szCs w:val="24"/>
        </w:rPr>
        <w:t>Дополнительная нагрузка на ТБ службу</w:t>
      </w:r>
      <w:r w:rsidR="00E550B3">
        <w:rPr>
          <w:rFonts w:ascii="Times New Roman" w:hAnsi="Times New Roman" w:cs="Times New Roman"/>
          <w:sz w:val="24"/>
          <w:szCs w:val="24"/>
        </w:rPr>
        <w:t>, о</w:t>
      </w:r>
      <w:r w:rsidR="00B51E93" w:rsidRPr="00B51E93">
        <w:rPr>
          <w:rFonts w:ascii="Times New Roman" w:hAnsi="Times New Roman" w:cs="Times New Roman"/>
          <w:sz w:val="24"/>
          <w:szCs w:val="24"/>
        </w:rPr>
        <w:t>слабление мер по профилактике, выявлению и диагностике ТБ</w:t>
      </w:r>
      <w:r w:rsidR="00B51E93">
        <w:rPr>
          <w:rFonts w:ascii="Times New Roman" w:hAnsi="Times New Roman" w:cs="Times New Roman"/>
          <w:sz w:val="24"/>
          <w:szCs w:val="24"/>
        </w:rPr>
        <w:t>.</w:t>
      </w:r>
      <w:r w:rsidR="00E550B3">
        <w:rPr>
          <w:rFonts w:ascii="Times New Roman" w:hAnsi="Times New Roman" w:cs="Times New Roman"/>
          <w:sz w:val="24"/>
          <w:szCs w:val="24"/>
        </w:rPr>
        <w:t xml:space="preserve"> </w:t>
      </w:r>
      <w:r w:rsidR="00B51E93" w:rsidRPr="00B51E93">
        <w:rPr>
          <w:rFonts w:ascii="Times New Roman" w:hAnsi="Times New Roman" w:cs="Times New Roman"/>
          <w:sz w:val="24"/>
          <w:szCs w:val="24"/>
        </w:rPr>
        <w:t>Рост запущенных случаев ТБ</w:t>
      </w:r>
      <w:r w:rsidR="00E550B3">
        <w:rPr>
          <w:rFonts w:ascii="Times New Roman" w:hAnsi="Times New Roman" w:cs="Times New Roman"/>
          <w:sz w:val="24"/>
          <w:szCs w:val="24"/>
        </w:rPr>
        <w:t>, с</w:t>
      </w:r>
      <w:r w:rsidR="00B51E93" w:rsidRPr="00B51E93">
        <w:rPr>
          <w:rFonts w:ascii="Times New Roman" w:hAnsi="Times New Roman" w:cs="Times New Roman"/>
          <w:sz w:val="24"/>
          <w:szCs w:val="24"/>
        </w:rPr>
        <w:t>ложности обеспечения НКЛ (прием спец. препаратов)</w:t>
      </w:r>
      <w:r w:rsidR="00E550B3">
        <w:rPr>
          <w:rFonts w:ascii="Times New Roman" w:hAnsi="Times New Roman" w:cs="Times New Roman"/>
          <w:sz w:val="24"/>
          <w:szCs w:val="24"/>
        </w:rPr>
        <w:t xml:space="preserve">, </w:t>
      </w:r>
      <w:r w:rsidR="00B51E93" w:rsidRPr="00B51E93">
        <w:rPr>
          <w:rFonts w:ascii="Times New Roman" w:hAnsi="Times New Roman" w:cs="Times New Roman"/>
          <w:sz w:val="24"/>
          <w:szCs w:val="24"/>
        </w:rPr>
        <w:t xml:space="preserve">трудности в выявлении и проведении ФГ </w:t>
      </w:r>
      <w:proofErr w:type="spellStart"/>
      <w:r w:rsidR="00B51E93" w:rsidRPr="00B51E93">
        <w:rPr>
          <w:rFonts w:ascii="Times New Roman" w:hAnsi="Times New Roman" w:cs="Times New Roman"/>
          <w:sz w:val="24"/>
          <w:szCs w:val="24"/>
        </w:rPr>
        <w:t>скринингов</w:t>
      </w:r>
      <w:proofErr w:type="spellEnd"/>
      <w:r w:rsidR="00B51E93" w:rsidRPr="00B51E93">
        <w:rPr>
          <w:rFonts w:ascii="Times New Roman" w:hAnsi="Times New Roman" w:cs="Times New Roman"/>
          <w:sz w:val="24"/>
          <w:szCs w:val="24"/>
        </w:rPr>
        <w:t xml:space="preserve"> на ТБ, особенно в уязвимых группах пациентов</w:t>
      </w:r>
      <w:r w:rsidR="00E550B3">
        <w:rPr>
          <w:rFonts w:ascii="Times New Roman" w:hAnsi="Times New Roman" w:cs="Times New Roman"/>
          <w:sz w:val="24"/>
          <w:szCs w:val="24"/>
        </w:rPr>
        <w:t>, у</w:t>
      </w:r>
      <w:r w:rsidR="00B51E93" w:rsidRPr="00B51E93">
        <w:rPr>
          <w:rFonts w:ascii="Times New Roman" w:hAnsi="Times New Roman" w:cs="Times New Roman"/>
          <w:sz w:val="24"/>
          <w:szCs w:val="24"/>
        </w:rPr>
        <w:t>величение расходов ТБ службы</w:t>
      </w:r>
      <w:r w:rsidR="00E550B3">
        <w:rPr>
          <w:rFonts w:ascii="Times New Roman" w:hAnsi="Times New Roman" w:cs="Times New Roman"/>
          <w:sz w:val="24"/>
          <w:szCs w:val="24"/>
        </w:rPr>
        <w:t>, н</w:t>
      </w:r>
      <w:r w:rsidR="00B51E93" w:rsidRPr="00B51E93">
        <w:rPr>
          <w:rFonts w:ascii="Times New Roman" w:hAnsi="Times New Roman" w:cs="Times New Roman"/>
          <w:sz w:val="24"/>
          <w:szCs w:val="24"/>
        </w:rPr>
        <w:t xml:space="preserve">евозможность проведения обучения, МиО, консультаций в офлайн. Качество дистанционных методов трудно оценить.  </w:t>
      </w:r>
    </w:p>
    <w:p w14:paraId="6708E596" w14:textId="7E4D199B" w:rsidR="00880228" w:rsidRDefault="006607B7" w:rsidP="00B51E9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51E93">
        <w:rPr>
          <w:rFonts w:ascii="Times New Roman" w:hAnsi="Times New Roman" w:cs="Times New Roman"/>
          <w:sz w:val="24"/>
          <w:szCs w:val="24"/>
        </w:rPr>
        <w:t>Были</w:t>
      </w:r>
      <w:r w:rsidR="00880228" w:rsidRPr="00B51E93">
        <w:rPr>
          <w:rFonts w:ascii="Times New Roman" w:hAnsi="Times New Roman" w:cs="Times New Roman"/>
          <w:sz w:val="24"/>
          <w:szCs w:val="24"/>
        </w:rPr>
        <w:t xml:space="preserve"> представлены</w:t>
      </w:r>
      <w:r w:rsidR="003415A4" w:rsidRPr="00B51E93">
        <w:rPr>
          <w:rFonts w:ascii="Times New Roman" w:hAnsi="Times New Roman" w:cs="Times New Roman"/>
          <w:sz w:val="24"/>
          <w:szCs w:val="24"/>
        </w:rPr>
        <w:t xml:space="preserve"> основные эпидемиологические показатели. Показатель выявляемости снизился</w:t>
      </w:r>
      <w:r w:rsidRPr="00B51E93">
        <w:rPr>
          <w:rFonts w:ascii="Times New Roman" w:hAnsi="Times New Roman" w:cs="Times New Roman"/>
          <w:sz w:val="24"/>
          <w:szCs w:val="24"/>
        </w:rPr>
        <w:t>, что было связано с низкой обращаемостью за обследованием.</w:t>
      </w:r>
      <w:r w:rsidR="00097475" w:rsidRPr="00B51E93">
        <w:rPr>
          <w:rFonts w:ascii="Times New Roman" w:hAnsi="Times New Roman" w:cs="Times New Roman"/>
          <w:sz w:val="24"/>
          <w:szCs w:val="24"/>
        </w:rPr>
        <w:t xml:space="preserve"> Участникам также представлена информация по вкладу НПО в снижении бремени Т</w:t>
      </w:r>
      <w:r w:rsidR="00FE3D05" w:rsidRPr="00B51E93">
        <w:rPr>
          <w:rFonts w:ascii="Times New Roman" w:hAnsi="Times New Roman" w:cs="Times New Roman"/>
          <w:sz w:val="24"/>
          <w:szCs w:val="24"/>
        </w:rPr>
        <w:t>уберкулеза</w:t>
      </w:r>
      <w:r w:rsidR="00097475" w:rsidRPr="00B51E9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="00097475" w:rsidRPr="00B51E93">
        <w:rPr>
          <w:rFonts w:ascii="Times New Roman" w:hAnsi="Times New Roman" w:cs="Times New Roman"/>
          <w:sz w:val="24"/>
          <w:szCs w:val="24"/>
        </w:rPr>
        <w:t>2020-2021</w:t>
      </w:r>
      <w:proofErr w:type="gramEnd"/>
      <w:r w:rsidR="00097475" w:rsidRPr="00B51E93">
        <w:rPr>
          <w:rFonts w:ascii="Times New Roman" w:hAnsi="Times New Roman" w:cs="Times New Roman"/>
          <w:sz w:val="24"/>
          <w:szCs w:val="24"/>
        </w:rPr>
        <w:t xml:space="preserve"> годы</w:t>
      </w:r>
      <w:r w:rsidR="00FE3D05" w:rsidRPr="00B51E93">
        <w:rPr>
          <w:rFonts w:ascii="Times New Roman" w:hAnsi="Times New Roman" w:cs="Times New Roman"/>
          <w:sz w:val="24"/>
          <w:szCs w:val="24"/>
        </w:rPr>
        <w:t>. С целью соблюдения приверженности взяты на поддержку пациентов с ТБ</w:t>
      </w:r>
      <w:r w:rsidR="00801220" w:rsidRPr="00B51E93">
        <w:rPr>
          <w:rFonts w:ascii="Times New Roman" w:hAnsi="Times New Roman" w:cs="Times New Roman"/>
          <w:sz w:val="24"/>
          <w:szCs w:val="24"/>
        </w:rPr>
        <w:t>…</w:t>
      </w:r>
      <w:r w:rsidR="00E550B3">
        <w:rPr>
          <w:rFonts w:ascii="Times New Roman" w:hAnsi="Times New Roman" w:cs="Times New Roman"/>
          <w:sz w:val="24"/>
          <w:szCs w:val="24"/>
        </w:rPr>
        <w:t xml:space="preserve"> </w:t>
      </w:r>
      <w:r w:rsidR="00A71F99" w:rsidRPr="00B51E93">
        <w:rPr>
          <w:rFonts w:ascii="Times New Roman" w:hAnsi="Times New Roman" w:cs="Times New Roman"/>
          <w:sz w:val="24"/>
          <w:szCs w:val="24"/>
        </w:rPr>
        <w:t xml:space="preserve">Была представлена информация по Стратегии ВОЗ по ликвидации туберкулеза </w:t>
      </w:r>
      <w:r w:rsidR="00E3770C" w:rsidRPr="00B51E9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E3770C" w:rsidRPr="00B51E93">
        <w:rPr>
          <w:rFonts w:ascii="Times New Roman" w:hAnsi="Times New Roman" w:cs="Times New Roman"/>
          <w:sz w:val="24"/>
          <w:szCs w:val="24"/>
        </w:rPr>
        <w:t>2016-2035</w:t>
      </w:r>
      <w:proofErr w:type="gramEnd"/>
      <w:r w:rsidR="00E3770C" w:rsidRPr="00B51E93">
        <w:rPr>
          <w:rFonts w:ascii="Times New Roman" w:hAnsi="Times New Roman" w:cs="Times New Roman"/>
          <w:sz w:val="24"/>
          <w:szCs w:val="24"/>
        </w:rPr>
        <w:t xml:space="preserve"> годы</w:t>
      </w:r>
      <w:r w:rsidR="00D32EA4" w:rsidRPr="00B51E93">
        <w:rPr>
          <w:rFonts w:ascii="Times New Roman" w:hAnsi="Times New Roman" w:cs="Times New Roman"/>
          <w:sz w:val="24"/>
          <w:szCs w:val="24"/>
        </w:rPr>
        <w:t xml:space="preserve"> и ее 3 основных </w:t>
      </w:r>
      <w:r w:rsidR="00221EBC" w:rsidRPr="00B51E93">
        <w:rPr>
          <w:rFonts w:ascii="Times New Roman" w:hAnsi="Times New Roman" w:cs="Times New Roman"/>
          <w:sz w:val="24"/>
          <w:szCs w:val="24"/>
        </w:rPr>
        <w:t>компонента</w:t>
      </w:r>
      <w:r w:rsidR="00C21467" w:rsidRPr="00B51E93">
        <w:rPr>
          <w:rFonts w:ascii="Times New Roman" w:hAnsi="Times New Roman" w:cs="Times New Roman"/>
          <w:sz w:val="24"/>
          <w:szCs w:val="24"/>
        </w:rPr>
        <w:t xml:space="preserve">. Необходимость вовлечения НПО и организаций </w:t>
      </w:r>
      <w:r w:rsidR="00500B8F" w:rsidRPr="00B51E93">
        <w:rPr>
          <w:rFonts w:ascii="Times New Roman" w:hAnsi="Times New Roman" w:cs="Times New Roman"/>
          <w:sz w:val="24"/>
          <w:szCs w:val="24"/>
        </w:rPr>
        <w:t>гражданского</w:t>
      </w:r>
      <w:r w:rsidR="00C21467" w:rsidRPr="00B51E93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945AF7" w:rsidRPr="00B51E93">
        <w:rPr>
          <w:rFonts w:ascii="Times New Roman" w:hAnsi="Times New Roman" w:cs="Times New Roman"/>
          <w:sz w:val="24"/>
          <w:szCs w:val="24"/>
        </w:rPr>
        <w:t xml:space="preserve"> в реализацию противотуберкулезных </w:t>
      </w:r>
      <w:r w:rsidR="00500B8F" w:rsidRPr="00B51E93">
        <w:rPr>
          <w:rFonts w:ascii="Times New Roman" w:hAnsi="Times New Roman" w:cs="Times New Roman"/>
          <w:sz w:val="24"/>
          <w:szCs w:val="24"/>
        </w:rPr>
        <w:t>мероприятий</w:t>
      </w:r>
      <w:r w:rsidR="00945AF7" w:rsidRPr="00B51E93">
        <w:rPr>
          <w:rFonts w:ascii="Times New Roman" w:hAnsi="Times New Roman" w:cs="Times New Roman"/>
          <w:sz w:val="24"/>
          <w:szCs w:val="24"/>
        </w:rPr>
        <w:t xml:space="preserve">, </w:t>
      </w:r>
      <w:r w:rsidR="00500B8F" w:rsidRPr="00B51E93">
        <w:rPr>
          <w:rFonts w:ascii="Times New Roman" w:hAnsi="Times New Roman" w:cs="Times New Roman"/>
          <w:sz w:val="24"/>
          <w:szCs w:val="24"/>
        </w:rPr>
        <w:t>разработка</w:t>
      </w:r>
      <w:r w:rsidR="00945AF7" w:rsidRPr="00B51E93">
        <w:rPr>
          <w:rFonts w:ascii="Times New Roman" w:hAnsi="Times New Roman" w:cs="Times New Roman"/>
          <w:sz w:val="24"/>
          <w:szCs w:val="24"/>
        </w:rPr>
        <w:t xml:space="preserve"> механизмов по контрактированию НПО, </w:t>
      </w:r>
      <w:r w:rsidR="00500B8F" w:rsidRPr="00B51E93">
        <w:rPr>
          <w:rFonts w:ascii="Times New Roman" w:hAnsi="Times New Roman" w:cs="Times New Roman"/>
          <w:sz w:val="24"/>
          <w:szCs w:val="24"/>
        </w:rPr>
        <w:t>на национальном уровне сформировано партнерство СТОП ТБ.</w:t>
      </w:r>
    </w:p>
    <w:p w14:paraId="6EDC3BBA" w14:textId="77777777" w:rsidR="00E550B3" w:rsidRPr="00B51E93" w:rsidRDefault="00E550B3" w:rsidP="00B51E9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D13B2FC" w14:textId="76D7BB5F" w:rsidR="00500B8F" w:rsidRPr="00B51E93" w:rsidRDefault="00500B8F" w:rsidP="00B51E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E93">
        <w:rPr>
          <w:rFonts w:ascii="Times New Roman" w:hAnsi="Times New Roman" w:cs="Times New Roman"/>
          <w:sz w:val="24"/>
          <w:szCs w:val="24"/>
        </w:rPr>
        <w:t xml:space="preserve">Обсуждение. </w:t>
      </w:r>
      <w:r w:rsidR="00270FBE" w:rsidRPr="00B51E93">
        <w:rPr>
          <w:rFonts w:ascii="Times New Roman" w:hAnsi="Times New Roman" w:cs="Times New Roman"/>
          <w:sz w:val="24"/>
          <w:szCs w:val="24"/>
        </w:rPr>
        <w:t>Вопросов не было.</w:t>
      </w:r>
    </w:p>
    <w:p w14:paraId="23820AF6" w14:textId="77777777" w:rsidR="003B14D6" w:rsidRPr="003B14D6" w:rsidRDefault="00500B8F" w:rsidP="003B14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B14D6">
        <w:rPr>
          <w:rFonts w:ascii="Times New Roman" w:hAnsi="Times New Roman" w:cs="Times New Roman"/>
          <w:b/>
          <w:bCs/>
          <w:sz w:val="24"/>
          <w:szCs w:val="24"/>
        </w:rPr>
        <w:t xml:space="preserve">Вопрос 5. </w:t>
      </w:r>
      <w:r w:rsidR="003B14D6" w:rsidRPr="003B14D6">
        <w:rPr>
          <w:rFonts w:ascii="Times New Roman" w:hAnsi="Times New Roman" w:cs="Times New Roman"/>
          <w:b/>
          <w:bCs/>
          <w:sz w:val="24"/>
          <w:szCs w:val="24"/>
        </w:rPr>
        <w:t>Права человека в контексте эпидемии COVID-19.</w:t>
      </w:r>
    </w:p>
    <w:p w14:paraId="3A04C776" w14:textId="5220DA2E" w:rsidR="006639EA" w:rsidRDefault="00A86F48" w:rsidP="003B14D6">
      <w:pPr>
        <w:pStyle w:val="a6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 xml:space="preserve">Докладчик - </w:t>
      </w:r>
      <w:r w:rsidR="003B14D6" w:rsidRPr="003B14D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 xml:space="preserve">Ибрагимова Оксана, </w:t>
      </w:r>
      <w:r w:rsidR="003B14D6" w:rsidRPr="003B14D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="003B14D6" w:rsidRPr="003B14D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екретарь платформы КГН, и.о. Президента ОЮЛ «Казахстанский Союз людей, живущих с ВИЧ»</w:t>
      </w:r>
      <w:r w:rsidR="005527D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.</w:t>
      </w:r>
    </w:p>
    <w:p w14:paraId="55A6C773" w14:textId="4D3C32D5" w:rsidR="003B14D6" w:rsidRDefault="003B14D6" w:rsidP="003B14D6">
      <w:pPr>
        <w:pStyle w:val="a6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</w:p>
    <w:p w14:paraId="1976F105" w14:textId="39508B5F" w:rsidR="00270FBE" w:rsidRDefault="00270FBE" w:rsidP="002039DD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Докладчик отметила, что права человека играют ключевую</w:t>
      </w:r>
      <w:r w:rsidR="005527D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роль</w:t>
      </w:r>
      <w:r w:rsidR="005527D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В центре внимания должен быть человек и его потребности. </w:t>
      </w:r>
      <w:r w:rsidR="000E5B7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Отдельно отметила международное право и договора</w:t>
      </w:r>
      <w:r w:rsidR="00AE0BF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 w:rsidR="0031122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Роль вакцинации от </w:t>
      </w:r>
      <w:r w:rsidR="003112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COVID</w:t>
      </w:r>
      <w:r w:rsidR="00311227" w:rsidRPr="0096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-19 </w:t>
      </w:r>
      <w:r w:rsidR="00311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озвучен. </w:t>
      </w:r>
      <w:r w:rsidR="00966768">
        <w:rPr>
          <w:rFonts w:ascii="Times New Roman" w:hAnsi="Times New Roman" w:cs="Times New Roman"/>
          <w:color w:val="000000" w:themeColor="text1"/>
          <w:sz w:val="24"/>
          <w:szCs w:val="24"/>
        </w:rPr>
        <w:t>Было отмечено, что во время пандемии был</w:t>
      </w:r>
      <w:r w:rsidR="002039D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6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нарушены прав</w:t>
      </w:r>
      <w:r w:rsidR="00203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передвижения. Также отметила, что особые трудности пережили участники программы поддерживающей терапии агонистами опиатов. </w:t>
      </w:r>
      <w:r w:rsidR="00293F5D">
        <w:rPr>
          <w:rFonts w:ascii="Times New Roman" w:hAnsi="Times New Roman" w:cs="Times New Roman"/>
          <w:color w:val="000000" w:themeColor="text1"/>
          <w:sz w:val="24"/>
          <w:szCs w:val="24"/>
        </w:rPr>
        <w:t>Поблагодарила Глобальный фонд для борьбы со СПИДом, туберкулезом и малярией основного донора, поддерживающего НПО</w:t>
      </w:r>
      <w:r w:rsidR="0026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КГН и национальные программы по ВИЧ/СПИДу и Туберкулезу. </w:t>
      </w:r>
      <w:r w:rsidR="005B7F43">
        <w:rPr>
          <w:rFonts w:ascii="Times New Roman" w:hAnsi="Times New Roman" w:cs="Times New Roman"/>
          <w:color w:val="000000" w:themeColor="text1"/>
          <w:sz w:val="24"/>
          <w:szCs w:val="24"/>
        </w:rPr>
        <w:t>Также отметила, что пандемия научила НПО многому, оказанию психологической поддержки предоставляя онлайн консультирование</w:t>
      </w:r>
      <w:r w:rsidR="00981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дистанционной работе</w:t>
      </w:r>
      <w:r w:rsidR="00BC7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Важно чтобы никто не остался без внимания. </w:t>
      </w:r>
    </w:p>
    <w:p w14:paraId="61FF9713" w14:textId="25538C65" w:rsidR="00C63E0B" w:rsidRDefault="00C63E0B" w:rsidP="002039DD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87E3D0" w14:textId="77777777" w:rsidR="00C63E0B" w:rsidRPr="007C1C33" w:rsidRDefault="00C63E0B" w:rsidP="007C1C33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C33">
        <w:rPr>
          <w:rFonts w:ascii="Times New Roman" w:hAnsi="Times New Roman" w:cs="Times New Roman"/>
          <w:b/>
          <w:bCs/>
          <w:sz w:val="24"/>
          <w:szCs w:val="24"/>
        </w:rPr>
        <w:t xml:space="preserve">Вопрос 6. </w:t>
      </w:r>
      <w:r w:rsidRPr="007C1C33">
        <w:rPr>
          <w:rFonts w:ascii="Times New Roman" w:hAnsi="Times New Roman" w:cs="Times New Roman"/>
          <w:b/>
          <w:bCs/>
          <w:sz w:val="24"/>
          <w:szCs w:val="24"/>
        </w:rPr>
        <w:t xml:space="preserve">Извлечённые уроки проекта Алматинская модель по контролю над эпидемией ВИЧ во время пандемии </w:t>
      </w:r>
      <w:r w:rsidRPr="007C1C33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</w:t>
      </w:r>
      <w:r w:rsidRPr="007C1C33">
        <w:rPr>
          <w:rFonts w:ascii="Times New Roman" w:hAnsi="Times New Roman" w:cs="Times New Roman"/>
          <w:b/>
          <w:bCs/>
          <w:sz w:val="24"/>
          <w:szCs w:val="24"/>
        </w:rPr>
        <w:t>-19</w:t>
      </w:r>
    </w:p>
    <w:p w14:paraId="113DC607" w14:textId="34393210" w:rsidR="00C63E0B" w:rsidRPr="00A86F48" w:rsidRDefault="00A86F48" w:rsidP="007C1C33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- </w:t>
      </w:r>
      <w:r w:rsidR="00C63E0B" w:rsidRPr="007C1C33">
        <w:rPr>
          <w:rFonts w:ascii="Times New Roman" w:hAnsi="Times New Roman" w:cs="Times New Roman"/>
          <w:i/>
          <w:iCs/>
          <w:sz w:val="24"/>
          <w:szCs w:val="24"/>
        </w:rPr>
        <w:t xml:space="preserve">Сауранбаева Мира, заместитель председателя СКК, директор проекта Алматинская модель по контролю над эпидемией ВИЧ, </w:t>
      </w:r>
      <w:r w:rsidR="00C63E0B" w:rsidRPr="007C1C33">
        <w:rPr>
          <w:rFonts w:ascii="Times New Roman" w:hAnsi="Times New Roman" w:cs="Times New Roman"/>
          <w:i/>
          <w:iCs/>
          <w:sz w:val="24"/>
          <w:szCs w:val="24"/>
          <w:lang w:val="en-US"/>
        </w:rPr>
        <w:t>ICAP</w:t>
      </w:r>
    </w:p>
    <w:p w14:paraId="7A994579" w14:textId="650B2EE3" w:rsidR="00C63E0B" w:rsidRPr="00A86F48" w:rsidRDefault="00C63E0B" w:rsidP="00C63E0B">
      <w:pPr>
        <w:pStyle w:val="a6"/>
        <w:rPr>
          <w:rFonts w:ascii="Times New Roman" w:hAnsi="Times New Roman" w:cs="Times New Roman"/>
          <w:i/>
          <w:iCs/>
        </w:rPr>
      </w:pPr>
    </w:p>
    <w:p w14:paraId="7912A516" w14:textId="406946FD" w:rsidR="00C63E0B" w:rsidRDefault="007C1C33" w:rsidP="005F11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C1C33">
        <w:rPr>
          <w:rFonts w:ascii="Times New Roman" w:hAnsi="Times New Roman" w:cs="Times New Roman"/>
          <w:sz w:val="24"/>
          <w:szCs w:val="24"/>
        </w:rPr>
        <w:t>Были представлены наработки проекта. Проект был начат в самый разгар пандемии.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713">
        <w:rPr>
          <w:rFonts w:ascii="Times New Roman" w:hAnsi="Times New Roman" w:cs="Times New Roman"/>
          <w:sz w:val="24"/>
          <w:szCs w:val="24"/>
        </w:rPr>
        <w:t xml:space="preserve">Представлена информация по каскаду услуг по ВИЧ в г.Алматы. Оценочное число ЛЖВ в г.Алматы 5000 человек. Проект разрабатывался 1,5 года ранее и </w:t>
      </w:r>
      <w:r w:rsidR="005F1161">
        <w:rPr>
          <w:rFonts w:ascii="Times New Roman" w:hAnsi="Times New Roman" w:cs="Times New Roman"/>
          <w:sz w:val="24"/>
          <w:szCs w:val="24"/>
        </w:rPr>
        <w:t xml:space="preserve">во время запуска приходилось вносить изменения и адаптировать мероприятия под условия пандемии </w:t>
      </w:r>
      <w:r w:rsidR="005F116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5F1161" w:rsidRPr="005F1161">
        <w:rPr>
          <w:rFonts w:ascii="Times New Roman" w:hAnsi="Times New Roman" w:cs="Times New Roman"/>
          <w:sz w:val="24"/>
          <w:szCs w:val="24"/>
        </w:rPr>
        <w:t xml:space="preserve">-19. </w:t>
      </w:r>
      <w:r w:rsidR="00A83B46">
        <w:rPr>
          <w:rFonts w:ascii="Times New Roman" w:hAnsi="Times New Roman" w:cs="Times New Roman"/>
          <w:sz w:val="24"/>
          <w:szCs w:val="24"/>
        </w:rPr>
        <w:t>Были организованы онлайн услуги по поставке тестов</w:t>
      </w:r>
      <w:r w:rsidR="009B768B">
        <w:rPr>
          <w:rFonts w:ascii="Times New Roman" w:hAnsi="Times New Roman" w:cs="Times New Roman"/>
          <w:sz w:val="24"/>
          <w:szCs w:val="24"/>
        </w:rPr>
        <w:t xml:space="preserve"> с использованием постоматов и аптечные сети «</w:t>
      </w:r>
      <w:proofErr w:type="spellStart"/>
      <w:r w:rsidR="009B768B">
        <w:rPr>
          <w:rFonts w:ascii="Times New Roman" w:hAnsi="Times New Roman" w:cs="Times New Roman"/>
          <w:sz w:val="24"/>
          <w:szCs w:val="24"/>
        </w:rPr>
        <w:t>Садыхан</w:t>
      </w:r>
      <w:proofErr w:type="spellEnd"/>
      <w:r w:rsidR="009B768B">
        <w:rPr>
          <w:rFonts w:ascii="Times New Roman" w:hAnsi="Times New Roman" w:cs="Times New Roman"/>
          <w:sz w:val="24"/>
          <w:szCs w:val="24"/>
        </w:rPr>
        <w:t>», с которым был заключен договор.</w:t>
      </w:r>
      <w:r w:rsidR="007968AA">
        <w:rPr>
          <w:rFonts w:ascii="Times New Roman" w:hAnsi="Times New Roman" w:cs="Times New Roman"/>
          <w:sz w:val="24"/>
          <w:szCs w:val="24"/>
        </w:rPr>
        <w:t xml:space="preserve"> Существует платформа по заказу наборов для </w:t>
      </w:r>
      <w:r w:rsidR="00B8684F">
        <w:rPr>
          <w:rFonts w:ascii="Times New Roman" w:hAnsi="Times New Roman" w:cs="Times New Roman"/>
          <w:sz w:val="24"/>
          <w:szCs w:val="24"/>
        </w:rPr>
        <w:t>самотестирования</w:t>
      </w:r>
      <w:r w:rsidR="007968AA">
        <w:rPr>
          <w:rFonts w:ascii="Times New Roman" w:hAnsi="Times New Roman" w:cs="Times New Roman"/>
          <w:sz w:val="24"/>
          <w:szCs w:val="24"/>
        </w:rPr>
        <w:t xml:space="preserve"> </w:t>
      </w:r>
      <w:r w:rsidR="00B8684F">
        <w:rPr>
          <w:rFonts w:ascii="Times New Roman" w:hAnsi="Times New Roman" w:cs="Times New Roman"/>
          <w:sz w:val="24"/>
          <w:szCs w:val="24"/>
        </w:rPr>
        <w:t>на ВИЧ в г. Алматы</w:t>
      </w:r>
      <w:r w:rsidR="003B3C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B3CA4">
        <w:rPr>
          <w:rFonts w:ascii="Times New Roman" w:hAnsi="Times New Roman" w:cs="Times New Roman"/>
          <w:sz w:val="24"/>
          <w:szCs w:val="24"/>
          <w:lang w:val="en-US"/>
        </w:rPr>
        <w:t>hivtest</w:t>
      </w:r>
      <w:proofErr w:type="spellEnd"/>
      <w:r w:rsidR="003B3CA4" w:rsidRPr="003B3C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B3CA4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3B3CA4">
        <w:rPr>
          <w:rFonts w:ascii="Times New Roman" w:hAnsi="Times New Roman" w:cs="Times New Roman"/>
          <w:sz w:val="24"/>
          <w:szCs w:val="24"/>
        </w:rPr>
        <w:t>)</w:t>
      </w:r>
      <w:r w:rsidR="00B8684F">
        <w:rPr>
          <w:rFonts w:ascii="Times New Roman" w:hAnsi="Times New Roman" w:cs="Times New Roman"/>
          <w:sz w:val="24"/>
          <w:szCs w:val="24"/>
        </w:rPr>
        <w:t>. На 17 ноября</w:t>
      </w:r>
      <w:r w:rsidR="003B3CA4" w:rsidRPr="003B3CA4">
        <w:rPr>
          <w:rFonts w:ascii="Times New Roman" w:hAnsi="Times New Roman" w:cs="Times New Roman"/>
          <w:sz w:val="24"/>
          <w:szCs w:val="24"/>
        </w:rPr>
        <w:t xml:space="preserve"> 2022 </w:t>
      </w:r>
      <w:r w:rsidR="003B3CA4">
        <w:rPr>
          <w:rFonts w:ascii="Times New Roman" w:hAnsi="Times New Roman" w:cs="Times New Roman"/>
          <w:sz w:val="24"/>
          <w:szCs w:val="24"/>
        </w:rPr>
        <w:t>года</w:t>
      </w:r>
      <w:r w:rsidR="00B8684F">
        <w:rPr>
          <w:rFonts w:ascii="Times New Roman" w:hAnsi="Times New Roman" w:cs="Times New Roman"/>
          <w:sz w:val="24"/>
          <w:szCs w:val="24"/>
        </w:rPr>
        <w:t xml:space="preserve"> поступило 959 заказов и 79% из них были выполнены</w:t>
      </w:r>
      <w:r w:rsidR="003B3CA4">
        <w:rPr>
          <w:rFonts w:ascii="Times New Roman" w:hAnsi="Times New Roman" w:cs="Times New Roman"/>
          <w:sz w:val="24"/>
          <w:szCs w:val="24"/>
        </w:rPr>
        <w:t>, результаты получили 370 (49%), из них 5 положительных (1%). Разработаны формы оценки рисков</w:t>
      </w:r>
      <w:r w:rsidR="001F258F">
        <w:rPr>
          <w:rFonts w:ascii="Times New Roman" w:hAnsi="Times New Roman" w:cs="Times New Roman"/>
          <w:sz w:val="24"/>
          <w:szCs w:val="24"/>
        </w:rPr>
        <w:t>, по результатам оценки 30% опрошенных</w:t>
      </w:r>
      <w:r w:rsidR="00867998">
        <w:rPr>
          <w:rFonts w:ascii="Times New Roman" w:hAnsi="Times New Roman" w:cs="Times New Roman"/>
          <w:sz w:val="24"/>
          <w:szCs w:val="24"/>
        </w:rPr>
        <w:t xml:space="preserve"> были представлены сообществом МСМ. </w:t>
      </w:r>
      <w:r w:rsidR="002F21CC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081B29">
        <w:rPr>
          <w:rFonts w:ascii="Times New Roman" w:hAnsi="Times New Roman" w:cs="Times New Roman"/>
          <w:sz w:val="24"/>
          <w:szCs w:val="24"/>
        </w:rPr>
        <w:t xml:space="preserve">достижения 95-95-95 были поставлены следующие задачи: </w:t>
      </w:r>
      <w:r w:rsidR="009A2D11">
        <w:rPr>
          <w:rFonts w:ascii="Times New Roman" w:hAnsi="Times New Roman" w:cs="Times New Roman"/>
          <w:sz w:val="24"/>
          <w:szCs w:val="24"/>
        </w:rPr>
        <w:t xml:space="preserve">обеспечить достижение вирусной супрессии у всех ЛЖВ на АРТ, обеспечить </w:t>
      </w:r>
      <w:proofErr w:type="spellStart"/>
      <w:r w:rsidR="009A2D11">
        <w:rPr>
          <w:rFonts w:ascii="Times New Roman" w:hAnsi="Times New Roman" w:cs="Times New Roman"/>
          <w:sz w:val="24"/>
          <w:szCs w:val="24"/>
        </w:rPr>
        <w:t>пациенториентированный</w:t>
      </w:r>
      <w:proofErr w:type="spellEnd"/>
      <w:r w:rsidR="009A2D11">
        <w:rPr>
          <w:rFonts w:ascii="Times New Roman" w:hAnsi="Times New Roman" w:cs="Times New Roman"/>
          <w:sz w:val="24"/>
          <w:szCs w:val="24"/>
        </w:rPr>
        <w:t xml:space="preserve"> подход к формированию</w:t>
      </w:r>
      <w:r w:rsidR="00251267">
        <w:rPr>
          <w:rFonts w:ascii="Times New Roman" w:hAnsi="Times New Roman" w:cs="Times New Roman"/>
          <w:sz w:val="24"/>
          <w:szCs w:val="24"/>
        </w:rPr>
        <w:t xml:space="preserve"> приверженности к АРТ</w:t>
      </w:r>
      <w:r w:rsidR="00C75C8A">
        <w:rPr>
          <w:rFonts w:ascii="Times New Roman" w:hAnsi="Times New Roman" w:cs="Times New Roman"/>
          <w:sz w:val="24"/>
          <w:szCs w:val="24"/>
        </w:rPr>
        <w:t>. Мероприятия по профилактике ВИЧ</w:t>
      </w:r>
      <w:r w:rsidR="000063F6">
        <w:rPr>
          <w:rFonts w:ascii="Times New Roman" w:hAnsi="Times New Roman" w:cs="Times New Roman"/>
          <w:sz w:val="24"/>
          <w:szCs w:val="24"/>
        </w:rPr>
        <w:t>:</w:t>
      </w:r>
      <w:r w:rsidR="00251267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251267">
        <w:rPr>
          <w:rFonts w:ascii="Times New Roman" w:hAnsi="Times New Roman" w:cs="Times New Roman"/>
          <w:sz w:val="24"/>
          <w:szCs w:val="24"/>
        </w:rPr>
        <w:lastRenderedPageBreak/>
        <w:t>доступ</w:t>
      </w:r>
      <w:r w:rsidR="00C75C8A">
        <w:rPr>
          <w:rFonts w:ascii="Times New Roman" w:hAnsi="Times New Roman" w:cs="Times New Roman"/>
          <w:sz w:val="24"/>
          <w:szCs w:val="24"/>
        </w:rPr>
        <w:t xml:space="preserve"> </w:t>
      </w:r>
      <w:r w:rsidR="00251267">
        <w:rPr>
          <w:rFonts w:ascii="Times New Roman" w:hAnsi="Times New Roman" w:cs="Times New Roman"/>
          <w:sz w:val="24"/>
          <w:szCs w:val="24"/>
        </w:rPr>
        <w:t xml:space="preserve">всех представителей </w:t>
      </w:r>
      <w:r w:rsidR="00C75C8A">
        <w:rPr>
          <w:rFonts w:ascii="Times New Roman" w:hAnsi="Times New Roman" w:cs="Times New Roman"/>
          <w:sz w:val="24"/>
          <w:szCs w:val="24"/>
        </w:rPr>
        <w:t>КГН к базовому пакету услуг по профилактике ВИЧ, активн</w:t>
      </w:r>
      <w:r w:rsidR="000063F6">
        <w:rPr>
          <w:rFonts w:ascii="Times New Roman" w:hAnsi="Times New Roman" w:cs="Times New Roman"/>
          <w:sz w:val="24"/>
          <w:szCs w:val="24"/>
        </w:rPr>
        <w:t>ое вовлечение в программу ДКП.</w:t>
      </w:r>
    </w:p>
    <w:p w14:paraId="33B8E619" w14:textId="2CC593E1" w:rsidR="00820220" w:rsidRDefault="00173B87" w:rsidP="005F11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Проблемами были ограниченный </w:t>
      </w:r>
      <w:r w:rsidR="00820220">
        <w:rPr>
          <w:rFonts w:ascii="Times New Roman" w:hAnsi="Times New Roman" w:cs="Times New Roman"/>
          <w:sz w:val="24"/>
          <w:szCs w:val="24"/>
        </w:rPr>
        <w:t>доступ КГН к услугам ПМСП, включая ДКП и ПД;</w:t>
      </w:r>
      <w:r w:rsidR="0013026F">
        <w:rPr>
          <w:rFonts w:ascii="Times New Roman" w:hAnsi="Times New Roman" w:cs="Times New Roman"/>
          <w:sz w:val="24"/>
          <w:szCs w:val="24"/>
        </w:rPr>
        <w:t xml:space="preserve"> </w:t>
      </w:r>
      <w:r w:rsidR="00820220">
        <w:rPr>
          <w:rFonts w:ascii="Times New Roman" w:hAnsi="Times New Roman" w:cs="Times New Roman"/>
          <w:sz w:val="24"/>
          <w:szCs w:val="24"/>
        </w:rPr>
        <w:t>Отсутствие технических возможностей НПО</w:t>
      </w:r>
      <w:r w:rsidR="008D7600">
        <w:rPr>
          <w:rFonts w:ascii="Times New Roman" w:hAnsi="Times New Roman" w:cs="Times New Roman"/>
          <w:sz w:val="24"/>
          <w:szCs w:val="24"/>
        </w:rPr>
        <w:t xml:space="preserve"> (интернет, техника), </w:t>
      </w:r>
      <w:r w:rsidR="004E08F9">
        <w:rPr>
          <w:rFonts w:ascii="Times New Roman" w:hAnsi="Times New Roman" w:cs="Times New Roman"/>
          <w:sz w:val="24"/>
          <w:szCs w:val="24"/>
        </w:rPr>
        <w:t>отсутствие</w:t>
      </w:r>
      <w:r w:rsidR="008D7600">
        <w:rPr>
          <w:rFonts w:ascii="Times New Roman" w:hAnsi="Times New Roman" w:cs="Times New Roman"/>
          <w:sz w:val="24"/>
          <w:szCs w:val="24"/>
        </w:rPr>
        <w:t xml:space="preserve"> навыков работы с программами и приложениями, стандартные подх</w:t>
      </w:r>
      <w:r w:rsidR="004E08F9">
        <w:rPr>
          <w:rFonts w:ascii="Times New Roman" w:hAnsi="Times New Roman" w:cs="Times New Roman"/>
          <w:sz w:val="24"/>
          <w:szCs w:val="24"/>
        </w:rPr>
        <w:t>оды и программы в НПО, недостаточный опыт работы в использовании дистанционных формы работы, ограниченный доступ к услугам центра СПИД и НПО.</w:t>
      </w:r>
    </w:p>
    <w:p w14:paraId="32C6F8F4" w14:textId="61693F78" w:rsidR="0013026F" w:rsidRPr="005F1161" w:rsidRDefault="0013026F" w:rsidP="005F11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внедрение </w:t>
      </w:r>
      <w:r w:rsidR="007632B9">
        <w:rPr>
          <w:rFonts w:ascii="Times New Roman" w:hAnsi="Times New Roman" w:cs="Times New Roman"/>
          <w:sz w:val="24"/>
          <w:szCs w:val="24"/>
        </w:rPr>
        <w:t xml:space="preserve">цифровых технологий в работу ГЦСПИД и НПО, </w:t>
      </w:r>
      <w:r w:rsidR="00B0520C">
        <w:rPr>
          <w:rFonts w:ascii="Times New Roman" w:hAnsi="Times New Roman" w:cs="Times New Roman"/>
          <w:sz w:val="24"/>
          <w:szCs w:val="24"/>
        </w:rPr>
        <w:t>необходимы СОП по дистанционному консультированию врачей ГЦСПИД, ДК и ПД. Широкое вовлечение в программу вакцинации</w:t>
      </w:r>
      <w:r w:rsidR="00A21B6A">
        <w:rPr>
          <w:rFonts w:ascii="Times New Roman" w:hAnsi="Times New Roman" w:cs="Times New Roman"/>
          <w:sz w:val="24"/>
          <w:szCs w:val="24"/>
        </w:rPr>
        <w:t xml:space="preserve">, тесное </w:t>
      </w:r>
      <w:r w:rsidR="00635DEF">
        <w:rPr>
          <w:rFonts w:ascii="Times New Roman" w:hAnsi="Times New Roman" w:cs="Times New Roman"/>
          <w:sz w:val="24"/>
          <w:szCs w:val="24"/>
        </w:rPr>
        <w:t>взаимодействие</w:t>
      </w:r>
      <w:r w:rsidR="00A21B6A">
        <w:rPr>
          <w:rFonts w:ascii="Times New Roman" w:hAnsi="Times New Roman" w:cs="Times New Roman"/>
          <w:sz w:val="24"/>
          <w:szCs w:val="24"/>
        </w:rPr>
        <w:t xml:space="preserve"> между государственными организациями и НПО, необходимо не</w:t>
      </w:r>
      <w:r w:rsidR="0084383B">
        <w:rPr>
          <w:rFonts w:ascii="Times New Roman" w:hAnsi="Times New Roman" w:cs="Times New Roman"/>
          <w:sz w:val="24"/>
          <w:szCs w:val="24"/>
        </w:rPr>
        <w:t xml:space="preserve">прерывное устойчивое </w:t>
      </w:r>
      <w:r w:rsidR="00635DEF">
        <w:rPr>
          <w:rFonts w:ascii="Times New Roman" w:hAnsi="Times New Roman" w:cs="Times New Roman"/>
          <w:sz w:val="24"/>
          <w:szCs w:val="24"/>
        </w:rPr>
        <w:t>соединение</w:t>
      </w:r>
      <w:r w:rsidR="0084383B">
        <w:rPr>
          <w:rFonts w:ascii="Times New Roman" w:hAnsi="Times New Roman" w:cs="Times New Roman"/>
          <w:sz w:val="24"/>
          <w:szCs w:val="24"/>
        </w:rPr>
        <w:t xml:space="preserve"> с интернетом, наличие техники с возможностью подключения к интернету</w:t>
      </w:r>
      <w:r w:rsidR="00635DEF">
        <w:rPr>
          <w:rFonts w:ascii="Times New Roman" w:hAnsi="Times New Roman" w:cs="Times New Roman"/>
          <w:sz w:val="24"/>
          <w:szCs w:val="24"/>
        </w:rPr>
        <w:t xml:space="preserve">, обучение и менторская поддержка в онлайн режиме. </w:t>
      </w:r>
    </w:p>
    <w:p w14:paraId="470D338F" w14:textId="5F4D0488" w:rsidR="003B14D6" w:rsidRDefault="003B14D6" w:rsidP="003B14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705CEA3" w14:textId="77777777" w:rsidR="00156A64" w:rsidRPr="00156A64" w:rsidRDefault="00156A64" w:rsidP="00156A64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56A64">
        <w:rPr>
          <w:rFonts w:ascii="Times New Roman" w:hAnsi="Times New Roman" w:cs="Times New Roman"/>
          <w:b/>
          <w:bCs/>
          <w:sz w:val="24"/>
          <w:szCs w:val="24"/>
        </w:rPr>
        <w:t xml:space="preserve">Вопрос 7. </w:t>
      </w:r>
      <w:r w:rsidRPr="00156A64">
        <w:rPr>
          <w:rFonts w:ascii="Times New Roman" w:hAnsi="Times New Roman" w:cs="Times New Roman"/>
          <w:b/>
          <w:bCs/>
          <w:sz w:val="24"/>
          <w:szCs w:val="24"/>
        </w:rPr>
        <w:t>Презентация исследования: «Социальная отдача от инвестиций»</w:t>
      </w:r>
    </w:p>
    <w:p w14:paraId="28B3C427" w14:textId="7EB80644" w:rsidR="00156A64" w:rsidRDefault="00A86F48" w:rsidP="00156A64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- </w:t>
      </w:r>
      <w:r w:rsidR="00156A64" w:rsidRPr="00156A64">
        <w:rPr>
          <w:rFonts w:ascii="Times New Roman" w:hAnsi="Times New Roman" w:cs="Times New Roman"/>
          <w:i/>
          <w:iCs/>
          <w:sz w:val="24"/>
          <w:szCs w:val="24"/>
        </w:rPr>
        <w:t>Кулкаева Гульнар Утепбергеновна, национальный консультант</w:t>
      </w:r>
    </w:p>
    <w:p w14:paraId="7DE5AB97" w14:textId="22C84257" w:rsidR="00156A64" w:rsidRDefault="00156A64" w:rsidP="00156A64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14:paraId="7EE84B47" w14:textId="21956517" w:rsidR="0095405F" w:rsidRDefault="00BE1ECD" w:rsidP="004804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проекта были взяты НПО </w:t>
      </w:r>
      <w:r w:rsidR="00806C27">
        <w:rPr>
          <w:rFonts w:ascii="Times New Roman" w:hAnsi="Times New Roman" w:cs="Times New Roman"/>
          <w:sz w:val="24"/>
          <w:szCs w:val="24"/>
        </w:rPr>
        <w:t>г. Астаны</w:t>
      </w:r>
      <w:r w:rsidR="002951B9" w:rsidRPr="0047410A">
        <w:rPr>
          <w:rFonts w:ascii="Times New Roman" w:hAnsi="Times New Roman" w:cs="Times New Roman"/>
          <w:sz w:val="24"/>
          <w:szCs w:val="24"/>
        </w:rPr>
        <w:t xml:space="preserve">: </w:t>
      </w:r>
      <w:r w:rsidR="0065434E">
        <w:rPr>
          <w:rFonts w:ascii="Times New Roman" w:hAnsi="Times New Roman" w:cs="Times New Roman"/>
          <w:sz w:val="24"/>
          <w:szCs w:val="24"/>
        </w:rPr>
        <w:t>«</w:t>
      </w:r>
      <w:r w:rsidR="002951B9">
        <w:rPr>
          <w:rFonts w:ascii="Times New Roman" w:hAnsi="Times New Roman" w:cs="Times New Roman"/>
          <w:sz w:val="24"/>
          <w:szCs w:val="24"/>
        </w:rPr>
        <w:t>Жизнь вопреки</w:t>
      </w:r>
      <w:r w:rsidR="0065434E">
        <w:rPr>
          <w:rFonts w:ascii="Times New Roman" w:hAnsi="Times New Roman" w:cs="Times New Roman"/>
          <w:sz w:val="24"/>
          <w:szCs w:val="24"/>
        </w:rPr>
        <w:t>»</w:t>
      </w:r>
      <w:r w:rsidR="002951B9">
        <w:rPr>
          <w:rFonts w:ascii="Times New Roman" w:hAnsi="Times New Roman" w:cs="Times New Roman"/>
          <w:sz w:val="24"/>
          <w:szCs w:val="24"/>
        </w:rPr>
        <w:t xml:space="preserve">, </w:t>
      </w:r>
      <w:r w:rsidR="0047410A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="0047410A" w:rsidRPr="0047410A">
        <w:rPr>
          <w:rFonts w:ascii="Times New Roman" w:hAnsi="Times New Roman" w:cs="Times New Roman"/>
          <w:sz w:val="24"/>
          <w:szCs w:val="24"/>
        </w:rPr>
        <w:t xml:space="preserve"> </w:t>
      </w:r>
      <w:r w:rsidR="0047410A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="0047410A" w:rsidRPr="0047410A">
        <w:rPr>
          <w:rFonts w:ascii="Times New Roman" w:hAnsi="Times New Roman" w:cs="Times New Roman"/>
          <w:sz w:val="24"/>
          <w:szCs w:val="24"/>
        </w:rPr>
        <w:t xml:space="preserve"> </w:t>
      </w:r>
      <w:r w:rsidR="0047410A">
        <w:rPr>
          <w:rFonts w:ascii="Times New Roman" w:hAnsi="Times New Roman" w:cs="Times New Roman"/>
          <w:sz w:val="24"/>
          <w:szCs w:val="24"/>
          <w:lang w:val="en-US"/>
        </w:rPr>
        <w:t>Institute</w:t>
      </w:r>
      <w:r w:rsidR="0047410A" w:rsidRPr="0047410A">
        <w:rPr>
          <w:rFonts w:ascii="Times New Roman" w:hAnsi="Times New Roman" w:cs="Times New Roman"/>
          <w:sz w:val="24"/>
          <w:szCs w:val="24"/>
        </w:rPr>
        <w:t xml:space="preserve">, </w:t>
      </w:r>
      <w:r w:rsidR="0047410A">
        <w:rPr>
          <w:rFonts w:ascii="Times New Roman" w:hAnsi="Times New Roman" w:cs="Times New Roman"/>
          <w:sz w:val="24"/>
          <w:szCs w:val="24"/>
        </w:rPr>
        <w:t>Шаг в будущее</w:t>
      </w:r>
      <w:r w:rsidR="00806C27">
        <w:rPr>
          <w:rFonts w:ascii="Times New Roman" w:hAnsi="Times New Roman" w:cs="Times New Roman"/>
          <w:sz w:val="24"/>
          <w:szCs w:val="24"/>
        </w:rPr>
        <w:t xml:space="preserve">. </w:t>
      </w:r>
      <w:r w:rsidR="005740B4">
        <w:rPr>
          <w:rFonts w:ascii="Times New Roman" w:hAnsi="Times New Roman" w:cs="Times New Roman"/>
          <w:sz w:val="24"/>
          <w:szCs w:val="24"/>
        </w:rPr>
        <w:t xml:space="preserve">Бла представлена методология: </w:t>
      </w:r>
      <w:r w:rsidR="0095405F" w:rsidRPr="0095405F">
        <w:rPr>
          <w:rFonts w:ascii="Times New Roman" w:hAnsi="Times New Roman" w:cs="Times New Roman"/>
          <w:sz w:val="24"/>
          <w:szCs w:val="24"/>
        </w:rPr>
        <w:t>Государственный социальный заказ на оказание связанных с ВИЧ услуг может обеспечить значительную социальную отдачу. Для ее оценки методология социального возврата на инвестиции (СВИ) была адаптирована и внедрена в контексте ВИЧ в регионе ВЕЦА.</w:t>
      </w:r>
      <w:r w:rsidR="004804CF">
        <w:rPr>
          <w:rFonts w:ascii="Times New Roman" w:hAnsi="Times New Roman" w:cs="Times New Roman"/>
          <w:sz w:val="24"/>
          <w:szCs w:val="24"/>
        </w:rPr>
        <w:t xml:space="preserve"> Отметила, что м</w:t>
      </w:r>
      <w:r w:rsidR="004804CF" w:rsidRPr="004804CF">
        <w:rPr>
          <w:rFonts w:ascii="Times New Roman" w:hAnsi="Times New Roman" w:cs="Times New Roman"/>
          <w:sz w:val="24"/>
          <w:szCs w:val="24"/>
        </w:rPr>
        <w:t xml:space="preserve">етодология СВИ позволяет глубже понять социальные, медицинские, экологические и экономические ценности, </w:t>
      </w:r>
      <w:r w:rsidR="004804CF" w:rsidRPr="004804CF">
        <w:rPr>
          <w:rFonts w:ascii="Times New Roman" w:hAnsi="Times New Roman" w:cs="Times New Roman"/>
          <w:sz w:val="24"/>
          <w:szCs w:val="24"/>
        </w:rPr>
        <w:t>создаваемые</w:t>
      </w:r>
      <w:r w:rsidR="004804CF" w:rsidRPr="004804CF">
        <w:rPr>
          <w:rFonts w:ascii="Times New Roman" w:hAnsi="Times New Roman" w:cs="Times New Roman"/>
          <w:sz w:val="24"/>
          <w:szCs w:val="24"/>
        </w:rPr>
        <w:t xml:space="preserve"> в рамках социального заказа. В том числе </w:t>
      </w:r>
      <w:r w:rsidR="00046BC6" w:rsidRPr="004804CF">
        <w:rPr>
          <w:rFonts w:ascii="Times New Roman" w:hAnsi="Times New Roman" w:cs="Times New Roman"/>
          <w:sz w:val="24"/>
          <w:szCs w:val="24"/>
        </w:rPr>
        <w:t>позволяет рассчитать</w:t>
      </w:r>
      <w:r w:rsidR="004804CF" w:rsidRPr="004804CF">
        <w:rPr>
          <w:rFonts w:ascii="Times New Roman" w:hAnsi="Times New Roman" w:cs="Times New Roman"/>
          <w:sz w:val="24"/>
          <w:szCs w:val="24"/>
        </w:rPr>
        <w:t xml:space="preserve"> соотношение затрат к результатам.</w:t>
      </w:r>
      <w:r w:rsidR="00046BC6">
        <w:rPr>
          <w:rFonts w:ascii="Times New Roman" w:hAnsi="Times New Roman" w:cs="Times New Roman"/>
          <w:sz w:val="24"/>
          <w:szCs w:val="24"/>
        </w:rPr>
        <w:t xml:space="preserve"> </w:t>
      </w:r>
      <w:r w:rsidR="00046BC6" w:rsidRPr="00046BC6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046BC6" w:rsidRPr="00046BC6">
        <w:rPr>
          <w:rFonts w:ascii="Times New Roman" w:hAnsi="Times New Roman" w:cs="Times New Roman"/>
          <w:sz w:val="24"/>
          <w:szCs w:val="24"/>
        </w:rPr>
        <w:t>коэффициент</w:t>
      </w:r>
      <w:r w:rsidR="00046BC6" w:rsidRPr="00046BC6">
        <w:rPr>
          <w:rFonts w:ascii="Times New Roman" w:hAnsi="Times New Roman" w:cs="Times New Roman"/>
          <w:sz w:val="24"/>
          <w:szCs w:val="24"/>
        </w:rPr>
        <w:t xml:space="preserve"> проекта 1:4 означает, что каждый доллар инвестиций дает 4 доллара социального возврата.</w:t>
      </w:r>
    </w:p>
    <w:p w14:paraId="77A5D37A" w14:textId="10393D10" w:rsidR="00156A64" w:rsidRPr="0095405F" w:rsidRDefault="00806C27" w:rsidP="009540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выяснилось, что несмотря на наличие законодательной базы </w:t>
      </w:r>
      <w:r w:rsidR="00342ADF">
        <w:rPr>
          <w:rFonts w:ascii="Times New Roman" w:hAnsi="Times New Roman" w:cs="Times New Roman"/>
          <w:sz w:val="24"/>
          <w:szCs w:val="24"/>
        </w:rPr>
        <w:t xml:space="preserve">все еще в регионах на поддержку профилактических программ не выделяются ГСЗ. В 2022 году были выделены средства только в </w:t>
      </w:r>
      <w:proofErr w:type="spellStart"/>
      <w:r w:rsidR="00342ADF">
        <w:rPr>
          <w:rFonts w:ascii="Times New Roman" w:hAnsi="Times New Roman" w:cs="Times New Roman"/>
          <w:sz w:val="24"/>
          <w:szCs w:val="24"/>
        </w:rPr>
        <w:t>г.Астана</w:t>
      </w:r>
      <w:proofErr w:type="spellEnd"/>
      <w:r w:rsidR="00342ADF">
        <w:rPr>
          <w:rFonts w:ascii="Times New Roman" w:hAnsi="Times New Roman" w:cs="Times New Roman"/>
          <w:sz w:val="24"/>
          <w:szCs w:val="24"/>
        </w:rPr>
        <w:t xml:space="preserve"> и Костанайской области. </w:t>
      </w:r>
      <w:r w:rsidR="00CE63B1">
        <w:rPr>
          <w:rFonts w:ascii="Times New Roman" w:hAnsi="Times New Roman" w:cs="Times New Roman"/>
          <w:sz w:val="24"/>
          <w:szCs w:val="24"/>
        </w:rPr>
        <w:t xml:space="preserve">Был представлен опыт Боснии Герцеговины для сравнения. </w:t>
      </w:r>
    </w:p>
    <w:p w14:paraId="6A91D36D" w14:textId="77777777" w:rsidR="00342ADF" w:rsidRPr="00156A64" w:rsidRDefault="00342ADF" w:rsidP="00156A64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FDB1087" w14:textId="072C2544" w:rsidR="00551C4D" w:rsidRDefault="00551C4D" w:rsidP="00551C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1C4D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551C4D">
        <w:rPr>
          <w:rFonts w:ascii="Times New Roman" w:hAnsi="Times New Roman" w:cs="Times New Roman"/>
          <w:sz w:val="24"/>
          <w:szCs w:val="24"/>
        </w:rPr>
        <w:t xml:space="preserve">по Республике Казахстан </w:t>
      </w:r>
      <w:r w:rsidRPr="00551C4D">
        <w:rPr>
          <w:rFonts w:ascii="Times New Roman" w:hAnsi="Times New Roman" w:cs="Times New Roman"/>
          <w:sz w:val="24"/>
          <w:szCs w:val="24"/>
        </w:rPr>
        <w:t>в получени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51C4D">
        <w:rPr>
          <w:rFonts w:ascii="Times New Roman" w:hAnsi="Times New Roman" w:cs="Times New Roman"/>
          <w:sz w:val="24"/>
          <w:szCs w:val="24"/>
        </w:rPr>
        <w:t xml:space="preserve"> значительного социального возврата от реализованных мероприятий</w:t>
      </w:r>
      <w:r w:rsidR="00FD1179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8837" w:type="dxa"/>
        <w:tblInd w:w="13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1"/>
        <w:gridCol w:w="2126"/>
        <w:gridCol w:w="1293"/>
        <w:gridCol w:w="1542"/>
        <w:gridCol w:w="2605"/>
      </w:tblGrid>
      <w:tr w:rsidR="00FD1179" w:rsidRPr="004169AC" w14:paraId="227F42DB" w14:textId="77777777" w:rsidTr="00406493">
        <w:trPr>
          <w:trHeight w:val="943"/>
        </w:trPr>
        <w:tc>
          <w:tcPr>
            <w:tcW w:w="12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8D37C" w14:textId="163173AC" w:rsidR="00FD1179" w:rsidRPr="004169AC" w:rsidRDefault="00C22CD1" w:rsidP="00C22CD1">
            <w:pPr>
              <w:pStyle w:val="a6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96BB3" w14:textId="510EA3DC" w:rsidR="00FD1179" w:rsidRPr="004169AC" w:rsidRDefault="00C22CD1" w:rsidP="00C22CD1">
            <w:pPr>
              <w:pStyle w:val="a6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>Количество информированных</w:t>
            </w:r>
          </w:p>
        </w:tc>
        <w:tc>
          <w:tcPr>
            <w:tcW w:w="12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830CB" w14:textId="0C0450F7" w:rsidR="00FD1179" w:rsidRPr="004169AC" w:rsidRDefault="00FD1179" w:rsidP="004169AC">
            <w:pPr>
              <w:pStyle w:val="a6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>Скорость передачи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4BE5A" w14:textId="77777777" w:rsidR="00FD1179" w:rsidRPr="004169AC" w:rsidRDefault="00FD1179" w:rsidP="004169AC">
            <w:pPr>
              <w:pStyle w:val="a6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>Общее количество возможных инфекций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75E09" w14:textId="4303B83A" w:rsidR="00FD1179" w:rsidRPr="004169AC" w:rsidRDefault="00FD1179" w:rsidP="004169AC">
            <w:pPr>
              <w:pStyle w:val="a6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>Общее количество возможных предотвращенных инфекци</w:t>
            </w: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22CD1" w:rsidRPr="004169AC" w14:paraId="53284DD9" w14:textId="77777777" w:rsidTr="00406493">
        <w:trPr>
          <w:trHeight w:val="35"/>
        </w:trPr>
        <w:tc>
          <w:tcPr>
            <w:tcW w:w="12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49F42" w14:textId="77777777" w:rsidR="00FD1179" w:rsidRPr="004169AC" w:rsidRDefault="00FD1179" w:rsidP="00C22CD1">
            <w:pPr>
              <w:pStyle w:val="a6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>МСМ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E5656" w14:textId="0C9DD103" w:rsidR="00FD1179" w:rsidRPr="004169AC" w:rsidRDefault="00FD1179" w:rsidP="004169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1 723 </w:t>
            </w:r>
          </w:p>
        </w:tc>
        <w:tc>
          <w:tcPr>
            <w:tcW w:w="12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2CCEC" w14:textId="40BF2B15" w:rsidR="00FD1179" w:rsidRPr="004169AC" w:rsidRDefault="00FD1179" w:rsidP="004169AC">
            <w:pPr>
              <w:pStyle w:val="a6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 xml:space="preserve"> 1,40 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C75F8" w14:textId="4D7050BA" w:rsidR="00FD1179" w:rsidRPr="004169AC" w:rsidRDefault="00FD1179" w:rsidP="00C22C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 xml:space="preserve">   24 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664DE" w14:textId="77777777" w:rsidR="00FD1179" w:rsidRPr="004169AC" w:rsidRDefault="00FD1179" w:rsidP="00C22CD1">
            <w:pPr>
              <w:pStyle w:val="a6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22CD1" w:rsidRPr="004169AC" w14:paraId="1A3D5241" w14:textId="77777777" w:rsidTr="00406493">
        <w:trPr>
          <w:trHeight w:val="166"/>
        </w:trPr>
        <w:tc>
          <w:tcPr>
            <w:tcW w:w="12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F5653" w14:textId="77777777" w:rsidR="00FD1179" w:rsidRPr="004169AC" w:rsidRDefault="00FD1179" w:rsidP="00C22CD1">
            <w:pPr>
              <w:pStyle w:val="a6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>ЛУИН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F80F3" w14:textId="2F3A8BDF" w:rsidR="00FD1179" w:rsidRPr="004169AC" w:rsidRDefault="00FD1179" w:rsidP="004169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1 441 </w:t>
            </w:r>
          </w:p>
        </w:tc>
        <w:tc>
          <w:tcPr>
            <w:tcW w:w="12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2B919" w14:textId="7A8C2C3A" w:rsidR="00FD1179" w:rsidRPr="004169AC" w:rsidRDefault="00FD1179" w:rsidP="004169AC">
            <w:pPr>
              <w:pStyle w:val="a6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 xml:space="preserve"> 0,70 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3F795" w14:textId="15B2352D" w:rsidR="00FD1179" w:rsidRPr="004169AC" w:rsidRDefault="00FD1179" w:rsidP="004169AC">
            <w:pPr>
              <w:pStyle w:val="a6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DE093" w14:textId="70AEAA6E" w:rsidR="00FD1179" w:rsidRPr="004169AC" w:rsidRDefault="00C22CD1" w:rsidP="00C22C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1179" w:rsidRPr="00416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2CD1" w:rsidRPr="004169AC" w14:paraId="716D2A5C" w14:textId="77777777" w:rsidTr="00406493">
        <w:trPr>
          <w:trHeight w:val="188"/>
        </w:trPr>
        <w:tc>
          <w:tcPr>
            <w:tcW w:w="12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93BD7" w14:textId="77777777" w:rsidR="00FD1179" w:rsidRPr="004169AC" w:rsidRDefault="00FD1179" w:rsidP="00C22CD1">
            <w:pPr>
              <w:pStyle w:val="a6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971BC" w14:textId="7C410241" w:rsidR="00FD1179" w:rsidRPr="004169AC" w:rsidRDefault="00FD1179" w:rsidP="004169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700 </w:t>
            </w:r>
          </w:p>
        </w:tc>
        <w:tc>
          <w:tcPr>
            <w:tcW w:w="12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D0FD7" w14:textId="7DD86C67" w:rsidR="00FD1179" w:rsidRPr="004169AC" w:rsidRDefault="00FD1179" w:rsidP="004169AC">
            <w:pPr>
              <w:pStyle w:val="a6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57D14" w14:textId="3DCCC233" w:rsidR="00FD1179" w:rsidRPr="004169AC" w:rsidRDefault="00FD1179" w:rsidP="00C22C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 xml:space="preserve">   7 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C372A" w14:textId="0C2D6E74" w:rsidR="00FD1179" w:rsidRPr="004169AC" w:rsidRDefault="00C22CD1" w:rsidP="00C22C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1179" w:rsidRPr="00416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D1" w:rsidRPr="004169AC" w14:paraId="67482737" w14:textId="77777777" w:rsidTr="00406493">
        <w:trPr>
          <w:trHeight w:val="25"/>
        </w:trPr>
        <w:tc>
          <w:tcPr>
            <w:tcW w:w="12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EFF0A" w14:textId="44B0679A" w:rsidR="00FD1179" w:rsidRPr="004169AC" w:rsidRDefault="00406493" w:rsidP="00C22CD1">
            <w:pPr>
              <w:pStyle w:val="a6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AE099" w14:textId="38FB46E2" w:rsidR="00FD1179" w:rsidRPr="004169AC" w:rsidRDefault="00FD1179" w:rsidP="004169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3 864 </w:t>
            </w:r>
          </w:p>
        </w:tc>
        <w:tc>
          <w:tcPr>
            <w:tcW w:w="12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72FBD" w14:textId="77777777" w:rsidR="00FD1179" w:rsidRPr="004169AC" w:rsidRDefault="00FD1179" w:rsidP="004169AC">
            <w:pPr>
              <w:pStyle w:val="a6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F3D8E" w14:textId="1EB88E58" w:rsidR="00FD1179" w:rsidRPr="004169AC" w:rsidRDefault="00FD1179" w:rsidP="00C22C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69AC">
              <w:rPr>
                <w:rFonts w:ascii="Times New Roman" w:hAnsi="Times New Roman" w:cs="Times New Roman"/>
                <w:sz w:val="24"/>
                <w:szCs w:val="24"/>
              </w:rPr>
              <w:t xml:space="preserve">   41 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92688" w14:textId="1E144F28" w:rsidR="00FD1179" w:rsidRPr="004169AC" w:rsidRDefault="00C22CD1" w:rsidP="00C22C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FD1179" w:rsidRPr="00416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39E5EC5" w14:textId="799EB2D3" w:rsidR="00FD1179" w:rsidRDefault="00FD1179" w:rsidP="00551C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A2314DB" w14:textId="67847A3E" w:rsidR="006D5E39" w:rsidRPr="00551C4D" w:rsidRDefault="006D5E39" w:rsidP="00551C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00F8">
        <w:rPr>
          <w:rFonts w:ascii="Times New Roman" w:hAnsi="Times New Roman" w:cs="Times New Roman"/>
          <w:i/>
          <w:iCs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 xml:space="preserve">. Если расчет произвести на примере одной организации с учетом заработной платы </w:t>
      </w:r>
      <w:r w:rsidR="00613FD2">
        <w:rPr>
          <w:rFonts w:ascii="Times New Roman" w:hAnsi="Times New Roman" w:cs="Times New Roman"/>
          <w:sz w:val="24"/>
          <w:szCs w:val="24"/>
        </w:rPr>
        <w:t>специалистов,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3F0">
        <w:rPr>
          <w:rFonts w:ascii="Times New Roman" w:hAnsi="Times New Roman" w:cs="Times New Roman"/>
          <w:sz w:val="24"/>
          <w:szCs w:val="24"/>
        </w:rPr>
        <w:t xml:space="preserve">то показатель </w:t>
      </w:r>
      <w:r w:rsidR="00613FD2">
        <w:rPr>
          <w:rFonts w:ascii="Times New Roman" w:hAnsi="Times New Roman" w:cs="Times New Roman"/>
          <w:sz w:val="24"/>
          <w:szCs w:val="24"/>
        </w:rPr>
        <w:t>увеличится</w:t>
      </w:r>
      <w:r w:rsidR="007263F0">
        <w:rPr>
          <w:rFonts w:ascii="Times New Roman" w:hAnsi="Times New Roman" w:cs="Times New Roman"/>
          <w:sz w:val="24"/>
          <w:szCs w:val="24"/>
        </w:rPr>
        <w:t xml:space="preserve">. Сложностью </w:t>
      </w:r>
      <w:r w:rsidR="00613FD2">
        <w:rPr>
          <w:rFonts w:ascii="Times New Roman" w:hAnsi="Times New Roman" w:cs="Times New Roman"/>
          <w:sz w:val="24"/>
          <w:szCs w:val="24"/>
        </w:rPr>
        <w:t>исследования были проведен</w:t>
      </w:r>
      <w:r w:rsidR="00403EA2">
        <w:rPr>
          <w:rFonts w:ascii="Times New Roman" w:hAnsi="Times New Roman" w:cs="Times New Roman"/>
          <w:sz w:val="24"/>
          <w:szCs w:val="24"/>
        </w:rPr>
        <w:t>ы на основе ретроспективных данных. Отсутствие единых критериев также</w:t>
      </w:r>
      <w:r w:rsidR="00F80F26">
        <w:rPr>
          <w:rFonts w:ascii="Times New Roman" w:hAnsi="Times New Roman" w:cs="Times New Roman"/>
          <w:sz w:val="24"/>
          <w:szCs w:val="24"/>
        </w:rPr>
        <w:t xml:space="preserve"> создавали риск смещения результатов. </w:t>
      </w:r>
      <w:r w:rsidR="00D8005A">
        <w:rPr>
          <w:rFonts w:ascii="Times New Roman" w:hAnsi="Times New Roman" w:cs="Times New Roman"/>
          <w:sz w:val="24"/>
          <w:szCs w:val="24"/>
        </w:rPr>
        <w:t xml:space="preserve">Существует необходимость разработки Дорожной карты для последующей реализации </w:t>
      </w:r>
      <w:r w:rsidR="00B52442">
        <w:rPr>
          <w:rFonts w:ascii="Times New Roman" w:hAnsi="Times New Roman" w:cs="Times New Roman"/>
          <w:sz w:val="24"/>
          <w:szCs w:val="24"/>
        </w:rPr>
        <w:t>рекомендации и</w:t>
      </w:r>
      <w:r w:rsidR="00BE4B08">
        <w:rPr>
          <w:rFonts w:ascii="Times New Roman" w:hAnsi="Times New Roman" w:cs="Times New Roman"/>
          <w:sz w:val="24"/>
          <w:szCs w:val="24"/>
        </w:rPr>
        <w:t>сследовани</w:t>
      </w:r>
      <w:r w:rsidR="006D2B3A">
        <w:rPr>
          <w:rFonts w:ascii="Times New Roman" w:hAnsi="Times New Roman" w:cs="Times New Roman"/>
          <w:sz w:val="24"/>
          <w:szCs w:val="24"/>
        </w:rPr>
        <w:t>я</w:t>
      </w:r>
      <w:r w:rsidR="00BE4B08">
        <w:rPr>
          <w:rFonts w:ascii="Times New Roman" w:hAnsi="Times New Roman" w:cs="Times New Roman"/>
          <w:sz w:val="24"/>
          <w:szCs w:val="24"/>
        </w:rPr>
        <w:t xml:space="preserve">. Также было </w:t>
      </w:r>
      <w:r w:rsidR="006D2B3A">
        <w:rPr>
          <w:rFonts w:ascii="Times New Roman" w:hAnsi="Times New Roman" w:cs="Times New Roman"/>
          <w:sz w:val="24"/>
          <w:szCs w:val="24"/>
        </w:rPr>
        <w:t xml:space="preserve">хорошо направить результаты исследования в </w:t>
      </w:r>
      <w:r w:rsidR="004E014C">
        <w:rPr>
          <w:rFonts w:ascii="Times New Roman" w:hAnsi="Times New Roman" w:cs="Times New Roman"/>
          <w:sz w:val="24"/>
          <w:szCs w:val="24"/>
        </w:rPr>
        <w:t>Правительство</w:t>
      </w:r>
      <w:r w:rsidR="006D2B3A">
        <w:rPr>
          <w:rFonts w:ascii="Times New Roman" w:hAnsi="Times New Roman" w:cs="Times New Roman"/>
          <w:sz w:val="24"/>
          <w:szCs w:val="24"/>
        </w:rPr>
        <w:t xml:space="preserve"> и всем заинтересованным органам и </w:t>
      </w:r>
      <w:r w:rsidR="004E014C">
        <w:rPr>
          <w:rFonts w:ascii="Times New Roman" w:hAnsi="Times New Roman" w:cs="Times New Roman"/>
          <w:sz w:val="24"/>
          <w:szCs w:val="24"/>
        </w:rPr>
        <w:t>ведомствам</w:t>
      </w:r>
      <w:r w:rsidR="006D2B3A">
        <w:rPr>
          <w:rFonts w:ascii="Times New Roman" w:hAnsi="Times New Roman" w:cs="Times New Roman"/>
          <w:sz w:val="24"/>
          <w:szCs w:val="24"/>
        </w:rPr>
        <w:t>.</w:t>
      </w:r>
    </w:p>
    <w:p w14:paraId="3C22EC19" w14:textId="5215DEBD" w:rsidR="00156A64" w:rsidRPr="00551C4D" w:rsidRDefault="00156A64" w:rsidP="00551C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9C472DD" w14:textId="5040F567" w:rsidR="00BE4B08" w:rsidRPr="00BE4B08" w:rsidRDefault="00BE4B08" w:rsidP="0044495A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B08">
        <w:rPr>
          <w:rFonts w:ascii="Times New Roman" w:hAnsi="Times New Roman" w:cs="Times New Roman"/>
          <w:b/>
          <w:bCs/>
          <w:sz w:val="24"/>
          <w:szCs w:val="24"/>
        </w:rPr>
        <w:t xml:space="preserve">Вопрос 8. </w:t>
      </w:r>
      <w:r w:rsidRPr="00BE4B08">
        <w:rPr>
          <w:rFonts w:ascii="Times New Roman" w:hAnsi="Times New Roman" w:cs="Times New Roman"/>
          <w:b/>
          <w:bCs/>
          <w:sz w:val="24"/>
          <w:szCs w:val="24"/>
        </w:rPr>
        <w:t xml:space="preserve">Влияние последствий </w:t>
      </w:r>
      <w:r w:rsidR="00B178F7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</w:t>
      </w:r>
      <w:r w:rsidR="00B178F7" w:rsidRPr="00B178F7">
        <w:rPr>
          <w:rFonts w:ascii="Times New Roman" w:hAnsi="Times New Roman" w:cs="Times New Roman"/>
          <w:b/>
          <w:bCs/>
          <w:sz w:val="24"/>
          <w:szCs w:val="24"/>
        </w:rPr>
        <w:t>-19</w:t>
      </w:r>
      <w:r w:rsidRPr="00BE4B08">
        <w:rPr>
          <w:rFonts w:ascii="Times New Roman" w:hAnsi="Times New Roman" w:cs="Times New Roman"/>
          <w:b/>
          <w:bCs/>
          <w:sz w:val="24"/>
          <w:szCs w:val="24"/>
        </w:rPr>
        <w:t xml:space="preserve"> для программ снижения вреда. </w:t>
      </w:r>
      <w:r w:rsidR="0044495A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BE4B08">
        <w:rPr>
          <w:rFonts w:ascii="Times New Roman" w:hAnsi="Times New Roman" w:cs="Times New Roman"/>
          <w:b/>
          <w:bCs/>
          <w:sz w:val="24"/>
          <w:szCs w:val="24"/>
        </w:rPr>
        <w:t>езультаты качественного исследования.</w:t>
      </w:r>
    </w:p>
    <w:p w14:paraId="60EAF8BA" w14:textId="3179CF1C" w:rsidR="00551C4D" w:rsidRDefault="00A86F48" w:rsidP="00BE4B08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lastRenderedPageBreak/>
        <w:t xml:space="preserve">Докладчик - </w:t>
      </w:r>
      <w:r w:rsidR="00BE4B08" w:rsidRPr="00BE4B08">
        <w:rPr>
          <w:rFonts w:ascii="Times New Roman" w:hAnsi="Times New Roman" w:cs="Times New Roman"/>
          <w:i/>
          <w:iCs/>
          <w:sz w:val="24"/>
          <w:szCs w:val="24"/>
          <w:lang w:val="kk-KZ"/>
        </w:rPr>
        <w:t>Терликбаева Асель,</w:t>
      </w:r>
      <w:r w:rsidR="00BE4B08" w:rsidRPr="00BE4B08">
        <w:rPr>
          <w:rFonts w:ascii="Times New Roman" w:hAnsi="Times New Roman" w:cs="Times New Roman"/>
          <w:i/>
          <w:iCs/>
          <w:sz w:val="24"/>
          <w:szCs w:val="24"/>
        </w:rPr>
        <w:t xml:space="preserve"> Руководитель МНПО «Центр изучения Глобального здоровья»</w:t>
      </w:r>
    </w:p>
    <w:p w14:paraId="2FCEA4B3" w14:textId="259142F7" w:rsidR="00BE4B08" w:rsidRDefault="00BE4B08" w:rsidP="00BE4B08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14:paraId="50C2D2B3" w14:textId="081F61E4" w:rsidR="00BE4B08" w:rsidRDefault="0098484B" w:rsidP="00EB76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Представлена информация по проекту, который реализовался во время пандемии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8484B">
        <w:rPr>
          <w:rFonts w:ascii="Times New Roman" w:hAnsi="Times New Roman" w:cs="Times New Roman"/>
          <w:sz w:val="24"/>
          <w:szCs w:val="24"/>
        </w:rPr>
        <w:t xml:space="preserve">-19. </w:t>
      </w:r>
      <w:r w:rsidR="0040302E">
        <w:rPr>
          <w:rFonts w:ascii="Times New Roman" w:hAnsi="Times New Roman" w:cs="Times New Roman"/>
          <w:sz w:val="24"/>
          <w:szCs w:val="24"/>
        </w:rPr>
        <w:t>Оценить эффективность Бридж</w:t>
      </w:r>
      <w:r w:rsidR="006D7BE7">
        <w:rPr>
          <w:rFonts w:ascii="Times New Roman" w:hAnsi="Times New Roman" w:cs="Times New Roman"/>
          <w:sz w:val="24"/>
          <w:szCs w:val="24"/>
        </w:rPr>
        <w:t xml:space="preserve"> в увеличении количества новых клиентов и посещений в ПД</w:t>
      </w:r>
      <w:r w:rsidR="00CD3C88">
        <w:rPr>
          <w:rFonts w:ascii="Times New Roman" w:hAnsi="Times New Roman" w:cs="Times New Roman"/>
          <w:sz w:val="24"/>
          <w:szCs w:val="24"/>
        </w:rPr>
        <w:t>, количества экспресс-тестирования на ВИЧ. Был</w:t>
      </w:r>
      <w:r w:rsidR="008E3302">
        <w:rPr>
          <w:rFonts w:ascii="Times New Roman" w:hAnsi="Times New Roman" w:cs="Times New Roman"/>
          <w:sz w:val="24"/>
          <w:szCs w:val="24"/>
        </w:rPr>
        <w:t xml:space="preserve"> представлен список ключевых организаций Качественное исследование среди провайдеров услуг: влияние </w:t>
      </w:r>
    </w:p>
    <w:p w14:paraId="36FB0B0C" w14:textId="7CA13899" w:rsidR="00B178F7" w:rsidRPr="00257F54" w:rsidRDefault="00B178F7" w:rsidP="00EB76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системе </w:t>
      </w:r>
      <w:r w:rsidR="00BC655A">
        <w:rPr>
          <w:rFonts w:ascii="Times New Roman" w:hAnsi="Times New Roman" w:cs="Times New Roman"/>
          <w:sz w:val="24"/>
          <w:szCs w:val="24"/>
        </w:rPr>
        <w:t xml:space="preserve">предоставления услуги их нормативной регуляции. Штат ПД описал существенные в системе предоставления </w:t>
      </w:r>
      <w:r w:rsidR="008166EE">
        <w:rPr>
          <w:rFonts w:ascii="Times New Roman" w:hAnsi="Times New Roman" w:cs="Times New Roman"/>
          <w:sz w:val="24"/>
          <w:szCs w:val="24"/>
        </w:rPr>
        <w:t>услуг в программах снижения вреда во время национального и регионального карантина</w:t>
      </w:r>
      <w:r w:rsidR="00EB7631">
        <w:rPr>
          <w:rFonts w:ascii="Times New Roman" w:hAnsi="Times New Roman" w:cs="Times New Roman"/>
          <w:sz w:val="24"/>
          <w:szCs w:val="24"/>
        </w:rPr>
        <w:t xml:space="preserve">. </w:t>
      </w:r>
      <w:r w:rsidR="002B07BF">
        <w:rPr>
          <w:rFonts w:ascii="Times New Roman" w:hAnsi="Times New Roman" w:cs="Times New Roman"/>
          <w:sz w:val="24"/>
          <w:szCs w:val="24"/>
        </w:rPr>
        <w:t xml:space="preserve">Медсестры пунктов доверия </w:t>
      </w:r>
    </w:p>
    <w:p w14:paraId="5752EEA1" w14:textId="77777777" w:rsidR="00CD3C88" w:rsidRPr="0098484B" w:rsidRDefault="00CD3C88" w:rsidP="00BE4B08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538116A" w14:textId="1E6EB014" w:rsidR="00257F54" w:rsidRPr="005A550E" w:rsidRDefault="001218C6" w:rsidP="001218C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5A550E">
        <w:rPr>
          <w:rFonts w:ascii="Times New Roman" w:hAnsi="Times New Roman" w:cs="Times New Roman"/>
          <w:b/>
          <w:bCs/>
          <w:sz w:val="24"/>
          <w:szCs w:val="24"/>
        </w:rPr>
        <w:t xml:space="preserve">Вопрос 9. </w:t>
      </w:r>
      <w:r w:rsidR="00257F54" w:rsidRPr="005A550E">
        <w:rPr>
          <w:rFonts w:ascii="Times New Roman" w:hAnsi="Times New Roman" w:cs="Times New Roman"/>
          <w:b/>
          <w:bCs/>
          <w:sz w:val="24"/>
          <w:szCs w:val="24"/>
        </w:rPr>
        <w:t>Влияние COVID-19 на гендерное насилие в отношении женщин и девочек</w:t>
      </w:r>
    </w:p>
    <w:p w14:paraId="221A0AF8" w14:textId="3C215CAB" w:rsidR="00551C4D" w:rsidRPr="005A550E" w:rsidRDefault="00A86F48" w:rsidP="001218C6">
      <w:pPr>
        <w:pStyle w:val="a6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Докладчик - </w:t>
      </w:r>
      <w:r w:rsidR="00257F54" w:rsidRPr="005A55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Билоконь Елена, руководитель ОФ «Реванш»</w:t>
      </w:r>
    </w:p>
    <w:p w14:paraId="3C9966C9" w14:textId="269373BB" w:rsidR="001218C6" w:rsidRDefault="001218C6" w:rsidP="001218C6">
      <w:pPr>
        <w:pStyle w:val="a6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01CBA175" w14:textId="40E1F6B4" w:rsidR="00F42048" w:rsidRDefault="0079004A" w:rsidP="009F5561">
      <w:pPr>
        <w:pStyle w:val="a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Была предоставлена информация по доступу женщин</w:t>
      </w:r>
      <w:r w:rsidR="00317D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17D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употребляющих наркотики</w:t>
      </w:r>
      <w:r w:rsidR="00C77E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1173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Была предоставлена информация </w:t>
      </w:r>
      <w:r w:rsidR="000108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ситуации, с</w:t>
      </w:r>
      <w:r w:rsidR="00391C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которой столкнулись </w:t>
      </w:r>
      <w:r w:rsidR="002E2F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сотрудники ОФ «Реванш». </w:t>
      </w:r>
      <w:r w:rsidR="000203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Отметила недоста</w:t>
      </w:r>
      <w:r w:rsidR="00B472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точный уровень знаний населения города. </w:t>
      </w:r>
      <w:r w:rsidR="003A11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 все </w:t>
      </w:r>
      <w:r w:rsidR="009F55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женщины были</w:t>
      </w:r>
      <w:r w:rsidR="00B472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готовы </w:t>
      </w:r>
      <w:r w:rsidR="003A11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продолжать адвокацию по данному вопросу. Отметила, что </w:t>
      </w:r>
      <w:r w:rsidR="00B620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слабо выполняются функции центров здорового образа жизни. </w:t>
      </w:r>
      <w:r w:rsidR="005A55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Была организована встреча с депутатом мажилиса парламента РК, представителями департамента внутренних дел. Решение </w:t>
      </w:r>
      <w:r w:rsidR="006837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рекомендации встречи под контролем депутата мажилиса парламента РК. </w:t>
      </w:r>
    </w:p>
    <w:p w14:paraId="1ED477F6" w14:textId="77777777" w:rsidR="0068377E" w:rsidRPr="00F42048" w:rsidRDefault="0068377E" w:rsidP="009F5561">
      <w:pPr>
        <w:pStyle w:val="a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46A5AE7" w14:textId="77777777" w:rsidR="003B25C5" w:rsidRPr="00C138F4" w:rsidRDefault="003B25C5" w:rsidP="00C138F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 10. </w:t>
      </w:r>
      <w:r w:rsidRPr="00C138F4">
        <w:rPr>
          <w:rFonts w:ascii="Times New Roman" w:hAnsi="Times New Roman" w:cs="Times New Roman"/>
          <w:b/>
          <w:sz w:val="24"/>
          <w:szCs w:val="24"/>
        </w:rPr>
        <w:t>Успехи и перспективы в смягчении последствий пандемии. Посткризисный период в Кризисных центрах для женщин, пострадавших от насилия.</w:t>
      </w:r>
    </w:p>
    <w:p w14:paraId="4958F798" w14:textId="09434FC6" w:rsidR="001218C6" w:rsidRDefault="003B25C5" w:rsidP="003B25C5">
      <w:pPr>
        <w:pStyle w:val="a6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Докладчик - </w:t>
      </w:r>
      <w:proofErr w:type="spellStart"/>
      <w:r w:rsidRPr="003B25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Байсакова</w:t>
      </w:r>
      <w:proofErr w:type="spellEnd"/>
      <w:r w:rsidRPr="003B25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З., Руководитель КГУ «Кризисный центр «Жан-сая»</w:t>
      </w:r>
    </w:p>
    <w:p w14:paraId="76582057" w14:textId="65711D58" w:rsidR="003B25C5" w:rsidRDefault="003B25C5" w:rsidP="003B25C5">
      <w:pPr>
        <w:pStyle w:val="a6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67CF122" w14:textId="1AC47677" w:rsidR="003B25C5" w:rsidRDefault="003B25C5" w:rsidP="00AB4EA8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Отметила, что очень много знаний получила сегодня в рамках данного круглого стола. </w:t>
      </w:r>
      <w:r w:rsidR="007F510D" w:rsidRPr="007F510D">
        <w:rPr>
          <w:rFonts w:ascii="Times New Roman" w:hAnsi="Times New Roman" w:cs="Times New Roman"/>
          <w:color w:val="000000" w:themeColor="text1"/>
          <w:sz w:val="24"/>
          <w:szCs w:val="24"/>
        </w:rPr>
        <w:t>Поблагодарила за организацию и приглашение.</w:t>
      </w:r>
      <w:r w:rsidR="007F5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Предложила обратить внимание на два события, которые изменили рутинный образ жизни – это пандемия </w:t>
      </w:r>
      <w:r w:rsidR="007F51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COVID</w:t>
      </w:r>
      <w:r w:rsidR="007F510D" w:rsidRPr="00AB4EA8">
        <w:rPr>
          <w:rFonts w:ascii="Times New Roman" w:hAnsi="Times New Roman" w:cs="Times New Roman"/>
          <w:color w:val="000000" w:themeColor="text1"/>
          <w:sz w:val="24"/>
          <w:szCs w:val="24"/>
        </w:rPr>
        <w:t>-19</w:t>
      </w:r>
      <w:r w:rsidR="00AB4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январские события. Сообщила, что </w:t>
      </w:r>
      <w:r w:rsidR="00C13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представляет 19 кризисных центров для женщин по стране. </w:t>
      </w:r>
      <w:r w:rsidR="008D6CC8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пандемии в отдельных городах были приняты отдельные меры, например,</w:t>
      </w:r>
      <w:r w:rsidR="00F04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г. Талдыкорган снимали гостиницы для </w:t>
      </w:r>
      <w:r w:rsidR="00D432C4">
        <w:rPr>
          <w:rFonts w:ascii="Times New Roman" w:hAnsi="Times New Roman" w:cs="Times New Roman"/>
          <w:color w:val="000000" w:themeColor="text1"/>
          <w:sz w:val="24"/>
          <w:szCs w:val="24"/>
        </w:rPr>
        <w:t>того,</w:t>
      </w:r>
      <w:r w:rsidR="00F04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разместить женщин, жертв бытового насилия. </w:t>
      </w:r>
      <w:r w:rsidR="00D43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 алгоритм взаимодействия НПО и правоохранительных органов. </w:t>
      </w:r>
      <w:r w:rsidR="00AC7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НПО были предоставлены сами себе. В Кризисные центры обращались те женщины, которые обращались постоянно за поддержкой. </w:t>
      </w:r>
      <w:r w:rsidR="00B7299E">
        <w:rPr>
          <w:rFonts w:ascii="Times New Roman" w:hAnsi="Times New Roman" w:cs="Times New Roman"/>
          <w:color w:val="000000" w:themeColor="text1"/>
          <w:sz w:val="24"/>
          <w:szCs w:val="24"/>
        </w:rPr>
        <w:t>В г.Алматы</w:t>
      </w:r>
      <w:r w:rsidR="00785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женщина обратилась за помощью </w:t>
      </w:r>
      <w:r w:rsidR="00D6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 нее родился ребенок с ВИЧ статусом </w:t>
      </w:r>
      <w:r w:rsidR="007C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обращаются в ОФ «Реванш». </w:t>
      </w:r>
      <w:r w:rsidR="00B15FC9">
        <w:rPr>
          <w:rFonts w:ascii="Times New Roman" w:hAnsi="Times New Roman" w:cs="Times New Roman"/>
          <w:color w:val="000000" w:themeColor="text1"/>
          <w:sz w:val="24"/>
          <w:szCs w:val="24"/>
        </w:rPr>
        <w:t>Отметила роль общественных советов</w:t>
      </w:r>
      <w:r w:rsidR="00634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очень важно сотрудничать и использовать эту платформу как </w:t>
      </w:r>
      <w:r w:rsidR="00FA7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механизм взаимодействия и административный ресурс. </w:t>
      </w:r>
    </w:p>
    <w:p w14:paraId="7E017FBB" w14:textId="1A8E143C" w:rsidR="00204B40" w:rsidRDefault="00204B40" w:rsidP="00AB4EA8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AAF978" w14:textId="271BD3C2" w:rsidR="00204B40" w:rsidRDefault="009A4D9C" w:rsidP="00AB4EA8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Обсуждения</w:t>
      </w:r>
      <w:r w:rsidR="0020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Существует необходимость внесения изменений в перечень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критериев</w:t>
      </w:r>
      <w:r w:rsidR="0020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доступу НПО в общественные платформы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что можно было заниматься адвокацией государственных</w:t>
      </w:r>
      <w:r w:rsidR="00BE6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грантов чтобы получить доступ к ф</w:t>
      </w:r>
      <w:r w:rsidR="006E7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инансированию до 3-х лет. Ответ: пока </w:t>
      </w:r>
      <w:r w:rsidR="009941B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 в критерии не внесены, можно выступать в качестве экспертов или передавать свои предложения через</w:t>
      </w:r>
      <w:r w:rsidR="00A4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действующих членов платформ. Также было предложено пользоваться национальной рассылкой для распространения информации по работе общественных советов и </w:t>
      </w:r>
    </w:p>
    <w:p w14:paraId="71977C76" w14:textId="5B8EA38A" w:rsidR="00536482" w:rsidRDefault="00536482" w:rsidP="00AB4EA8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24DBE6" w14:textId="626C239E" w:rsidR="00536482" w:rsidRDefault="00536482" w:rsidP="00AB4EA8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рекомендовали написать письмо в </w:t>
      </w:r>
      <w:proofErr w:type="spellStart"/>
      <w:r w:rsidR="005626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Samuryk</w:t>
      </w:r>
      <w:proofErr w:type="spellEnd"/>
      <w:r w:rsidR="005626A2" w:rsidRPr="00562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26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Kazyna</w:t>
      </w:r>
      <w:proofErr w:type="spellEnd"/>
      <w:r w:rsidR="005626A2" w:rsidRPr="00562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26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Trust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информации по выделяемым грантам для НПО. </w:t>
      </w:r>
    </w:p>
    <w:p w14:paraId="45B64EFB" w14:textId="7E00D9E8" w:rsidR="00003A3E" w:rsidRDefault="00003A3E" w:rsidP="00AB4EA8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B49A9D" w14:textId="77777777" w:rsidR="00003A3E" w:rsidRDefault="00003A3E" w:rsidP="00AB4EA8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B77C93" w14:textId="77777777" w:rsidR="00D432C4" w:rsidRPr="007F510D" w:rsidRDefault="00D432C4" w:rsidP="00AB4EA8">
      <w:pPr>
        <w:pStyle w:val="a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83909F8" w14:textId="223E0534" w:rsidR="00003A3E" w:rsidRPr="00003A3E" w:rsidRDefault="00003A3E" w:rsidP="00003A3E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A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Вопрос 11. </w:t>
      </w:r>
      <w:r w:rsidRPr="00003A3E">
        <w:rPr>
          <w:rFonts w:ascii="Times New Roman" w:hAnsi="Times New Roman" w:cs="Times New Roman"/>
          <w:b/>
          <w:bCs/>
          <w:sz w:val="24"/>
          <w:szCs w:val="24"/>
        </w:rPr>
        <w:t>Анализ влияния принятых государством мер в условиях пандемии на деятельность образовательных учреждений в Казахстане.</w:t>
      </w:r>
    </w:p>
    <w:p w14:paraId="69A66E5F" w14:textId="6B2FC11D" w:rsidR="001218C6" w:rsidRDefault="005626A2" w:rsidP="00003A3E">
      <w:pPr>
        <w:pStyle w:val="a6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Докладчик - </w:t>
      </w:r>
      <w:r w:rsidR="00003A3E" w:rsidRPr="00003A3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Ахметова </w:t>
      </w:r>
      <w:proofErr w:type="spellStart"/>
      <w:r w:rsidR="00003A3E" w:rsidRPr="00003A3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Ботагоз</w:t>
      </w:r>
      <w:proofErr w:type="spellEnd"/>
      <w:r w:rsidR="00003A3E" w:rsidRPr="00003A3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003A3E" w:rsidRPr="00003A3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Саликовна</w:t>
      </w:r>
      <w:proofErr w:type="spellEnd"/>
      <w:r w:rsidR="005A74D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  <w:r w:rsidR="00003A3E" w:rsidRPr="00003A3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НАО им.</w:t>
      </w:r>
      <w:r w:rsidR="00575D9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75D9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Ы</w:t>
      </w:r>
      <w:r w:rsidR="00003A3E" w:rsidRPr="00003A3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.Алтынсарина</w:t>
      </w:r>
      <w:proofErr w:type="spellEnd"/>
      <w:r w:rsidR="00003A3E" w:rsidRPr="00003A3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 Министерство просвещения Республики Казахстан</w:t>
      </w:r>
    </w:p>
    <w:p w14:paraId="6527A95C" w14:textId="78E8024B" w:rsidR="00003A3E" w:rsidRDefault="00003A3E" w:rsidP="00003A3E">
      <w:pPr>
        <w:pStyle w:val="a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7ACE7B6" w14:textId="6842C8BA" w:rsidR="00003A3E" w:rsidRDefault="00FA0A83" w:rsidP="00003A3E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DFD">
        <w:rPr>
          <w:rFonts w:ascii="Times New Roman" w:hAnsi="Times New Roman" w:cs="Times New Roman"/>
          <w:bCs/>
          <w:i/>
          <w:iCs/>
          <w:sz w:val="24"/>
          <w:szCs w:val="24"/>
        </w:rPr>
        <w:t>Обсуждение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: привлекается ли НПО для </w:t>
      </w:r>
      <w:r w:rsidR="009A3DFD">
        <w:rPr>
          <w:rFonts w:ascii="Times New Roman" w:hAnsi="Times New Roman" w:cs="Times New Roman"/>
          <w:bCs/>
          <w:sz w:val="24"/>
          <w:szCs w:val="24"/>
        </w:rPr>
        <w:t>реализации обучающих программ? Что делается по выработке толерантных отношений</w:t>
      </w:r>
      <w:r w:rsidR="00D20C91">
        <w:rPr>
          <w:rFonts w:ascii="Times New Roman" w:hAnsi="Times New Roman" w:cs="Times New Roman"/>
          <w:bCs/>
          <w:sz w:val="24"/>
          <w:szCs w:val="24"/>
        </w:rPr>
        <w:t>?</w:t>
      </w:r>
      <w:r w:rsidR="00EE0209">
        <w:rPr>
          <w:rFonts w:ascii="Times New Roman" w:hAnsi="Times New Roman" w:cs="Times New Roman"/>
          <w:bCs/>
          <w:sz w:val="24"/>
          <w:szCs w:val="24"/>
        </w:rPr>
        <w:t xml:space="preserve"> Участники рекомендовали организовать и п</w:t>
      </w:r>
      <w:r w:rsidR="00273A0A">
        <w:rPr>
          <w:rFonts w:ascii="Times New Roman" w:hAnsi="Times New Roman" w:cs="Times New Roman"/>
          <w:bCs/>
          <w:sz w:val="24"/>
          <w:szCs w:val="24"/>
        </w:rPr>
        <w:t xml:space="preserve">ровести официальную встречу с НАО им. Ы. Алтынсарина, ознакомиться с действующими программами и представить свои программы, чтобы </w:t>
      </w:r>
      <w:r w:rsidR="00EE0209">
        <w:rPr>
          <w:rFonts w:ascii="Times New Roman" w:hAnsi="Times New Roman" w:cs="Times New Roman"/>
          <w:bCs/>
          <w:sz w:val="24"/>
          <w:szCs w:val="24"/>
        </w:rPr>
        <w:t xml:space="preserve">найти точки соприкосновения. </w:t>
      </w:r>
      <w:r w:rsidR="008F6999">
        <w:rPr>
          <w:rFonts w:ascii="Times New Roman" w:hAnsi="Times New Roman" w:cs="Times New Roman"/>
          <w:bCs/>
          <w:sz w:val="24"/>
          <w:szCs w:val="24"/>
        </w:rPr>
        <w:t xml:space="preserve">Необходимо развивать </w:t>
      </w:r>
      <w:r w:rsidR="00AF0FF3">
        <w:rPr>
          <w:rFonts w:ascii="Times New Roman" w:hAnsi="Times New Roman" w:cs="Times New Roman"/>
          <w:bCs/>
          <w:sz w:val="24"/>
          <w:szCs w:val="24"/>
        </w:rPr>
        <w:t xml:space="preserve">сотрудничество не только в области ВИЧ и Туберкулеза, но есть вопросы профилактики наркомании, соблюдения прав человека, выработка толерантного отношения. </w:t>
      </w:r>
      <w:r w:rsidR="00FA7419">
        <w:rPr>
          <w:rFonts w:ascii="Times New Roman" w:hAnsi="Times New Roman" w:cs="Times New Roman"/>
          <w:bCs/>
          <w:sz w:val="24"/>
          <w:szCs w:val="24"/>
        </w:rPr>
        <w:t xml:space="preserve">Участники отметили, что сотрудничество должно поддерживаться </w:t>
      </w:r>
      <w:r w:rsidR="00642EC1">
        <w:rPr>
          <w:rFonts w:ascii="Times New Roman" w:hAnsi="Times New Roman" w:cs="Times New Roman"/>
          <w:bCs/>
          <w:sz w:val="24"/>
          <w:szCs w:val="24"/>
        </w:rPr>
        <w:t>не только к 1 декабря, а круглый год, чтобы увеличить эффективность профилактических программ.</w:t>
      </w:r>
    </w:p>
    <w:p w14:paraId="3CD1E7A5" w14:textId="3EED626F" w:rsidR="00FA7419" w:rsidRDefault="00FA7419" w:rsidP="00003A3E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A45DE5" w14:textId="77777777" w:rsidR="003D10C3" w:rsidRPr="003D10C3" w:rsidRDefault="003D10C3" w:rsidP="006C399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0C3">
        <w:rPr>
          <w:rFonts w:ascii="Times New Roman" w:hAnsi="Times New Roman" w:cs="Times New Roman"/>
          <w:b/>
          <w:sz w:val="24"/>
          <w:szCs w:val="24"/>
        </w:rPr>
        <w:t xml:space="preserve">Вопрос 12. </w:t>
      </w:r>
      <w:r w:rsidRPr="003D10C3">
        <w:rPr>
          <w:rFonts w:ascii="Times New Roman" w:hAnsi="Times New Roman" w:cs="Times New Roman"/>
          <w:b/>
          <w:sz w:val="24"/>
          <w:szCs w:val="24"/>
        </w:rPr>
        <w:t>Факторы риска инфицирования ВИЧ и ИППП, доступ к услугам профилактики и лечения ВИЧ для трансгендерных людей в Казахстане</w:t>
      </w:r>
      <w:r w:rsidRPr="003D10C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3E615F1" w14:textId="665E308D" w:rsidR="003D10C3" w:rsidRPr="003D10C3" w:rsidRDefault="0026140B" w:rsidP="003D10C3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- </w:t>
      </w:r>
      <w:r w:rsidR="003D10C3" w:rsidRPr="003D10C3">
        <w:rPr>
          <w:rFonts w:ascii="Times New Roman" w:hAnsi="Times New Roman" w:cs="Times New Roman"/>
          <w:i/>
          <w:iCs/>
          <w:sz w:val="24"/>
          <w:szCs w:val="24"/>
        </w:rPr>
        <w:t xml:space="preserve">Кравченко Алексей, Представитель </w:t>
      </w:r>
      <w:r w:rsidR="003D10C3" w:rsidRPr="003D10C3">
        <w:rPr>
          <w:rFonts w:ascii="Times New Roman" w:hAnsi="Times New Roman" w:cs="Times New Roman"/>
          <w:i/>
          <w:iCs/>
          <w:sz w:val="24"/>
          <w:szCs w:val="24"/>
          <w:lang w:val="en-US"/>
        </w:rPr>
        <w:t>Alma</w:t>
      </w:r>
      <w:r w:rsidR="003D10C3" w:rsidRPr="003D10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10C3" w:rsidRPr="003D10C3">
        <w:rPr>
          <w:rFonts w:ascii="Times New Roman" w:hAnsi="Times New Roman" w:cs="Times New Roman"/>
          <w:i/>
          <w:iCs/>
          <w:sz w:val="24"/>
          <w:szCs w:val="24"/>
          <w:lang w:val="en-US"/>
        </w:rPr>
        <w:t>TQ</w:t>
      </w:r>
      <w:r w:rsidR="003D10C3" w:rsidRPr="003D10C3">
        <w:rPr>
          <w:rFonts w:ascii="Times New Roman" w:hAnsi="Times New Roman" w:cs="Times New Roman"/>
          <w:i/>
          <w:iCs/>
          <w:sz w:val="24"/>
          <w:szCs w:val="24"/>
        </w:rPr>
        <w:t>, член СКК</w:t>
      </w:r>
    </w:p>
    <w:p w14:paraId="35AA83CF" w14:textId="230AE170" w:rsidR="00003A3E" w:rsidRDefault="00003A3E" w:rsidP="00003A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3773E7B" w14:textId="67376E5C" w:rsidR="000920C0" w:rsidRPr="007B0BE9" w:rsidRDefault="00F44BCB" w:rsidP="00003A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представлены результаты исследования. </w:t>
      </w:r>
      <w:r w:rsidR="000B37A0">
        <w:rPr>
          <w:rFonts w:ascii="Times New Roman" w:hAnsi="Times New Roman" w:cs="Times New Roman"/>
          <w:sz w:val="24"/>
          <w:szCs w:val="24"/>
        </w:rPr>
        <w:t xml:space="preserve">Исследование позволило оценить осведомлённость ТГЛ. Методология исследования включала </w:t>
      </w:r>
      <w:r w:rsidR="00715C18">
        <w:rPr>
          <w:rFonts w:ascii="Times New Roman" w:hAnsi="Times New Roman" w:cs="Times New Roman"/>
          <w:sz w:val="24"/>
          <w:szCs w:val="24"/>
        </w:rPr>
        <w:t xml:space="preserve">и </w:t>
      </w:r>
      <w:r w:rsidR="007D0221">
        <w:rPr>
          <w:rFonts w:ascii="Times New Roman" w:hAnsi="Times New Roman" w:cs="Times New Roman"/>
          <w:sz w:val="24"/>
          <w:szCs w:val="24"/>
        </w:rPr>
        <w:t>кабинетный анализ,</w:t>
      </w:r>
      <w:r w:rsidR="00715C18">
        <w:rPr>
          <w:rFonts w:ascii="Times New Roman" w:hAnsi="Times New Roman" w:cs="Times New Roman"/>
          <w:sz w:val="24"/>
          <w:szCs w:val="24"/>
        </w:rPr>
        <w:t xml:space="preserve"> и полевые работы. Исследование </w:t>
      </w:r>
      <w:r w:rsidR="00076EED">
        <w:rPr>
          <w:rFonts w:ascii="Times New Roman" w:hAnsi="Times New Roman" w:cs="Times New Roman"/>
          <w:sz w:val="24"/>
          <w:szCs w:val="24"/>
        </w:rPr>
        <w:t>проводилось</w:t>
      </w:r>
      <w:r w:rsidR="00715C18">
        <w:rPr>
          <w:rFonts w:ascii="Times New Roman" w:hAnsi="Times New Roman" w:cs="Times New Roman"/>
          <w:sz w:val="24"/>
          <w:szCs w:val="24"/>
        </w:rPr>
        <w:t xml:space="preserve"> с августа 2021 года по 31 марта 2022 года. </w:t>
      </w:r>
      <w:r w:rsidR="007D0221">
        <w:rPr>
          <w:rFonts w:ascii="Times New Roman" w:hAnsi="Times New Roman" w:cs="Times New Roman"/>
          <w:sz w:val="24"/>
          <w:szCs w:val="24"/>
        </w:rPr>
        <w:t xml:space="preserve">Выборка была сформирована методом направленной выборки и снежного кома. </w:t>
      </w:r>
      <w:r w:rsidR="00076EED">
        <w:rPr>
          <w:rFonts w:ascii="Times New Roman" w:hAnsi="Times New Roman" w:cs="Times New Roman"/>
          <w:sz w:val="24"/>
          <w:szCs w:val="24"/>
        </w:rPr>
        <w:t xml:space="preserve">Часть данных для исследования собирали с помощью Зум. </w:t>
      </w:r>
      <w:r w:rsidR="00BD39B8">
        <w:rPr>
          <w:rFonts w:ascii="Times New Roman" w:hAnsi="Times New Roman" w:cs="Times New Roman"/>
          <w:sz w:val="24"/>
          <w:szCs w:val="24"/>
        </w:rPr>
        <w:t xml:space="preserve">Выборка составила 100 человек. 15 медицинских специалистов из СПД центров, 25 ТГЛ. </w:t>
      </w:r>
      <w:r w:rsidR="00D959D4">
        <w:rPr>
          <w:rFonts w:ascii="Times New Roman" w:hAnsi="Times New Roman" w:cs="Times New Roman"/>
          <w:sz w:val="24"/>
          <w:szCs w:val="24"/>
        </w:rPr>
        <w:t>В первой главе были изучены социально-экономическое положение ТГЛ в Казахстане как фактор уязвимости ВИЧ</w:t>
      </w:r>
      <w:r w:rsidR="00481EF4">
        <w:rPr>
          <w:rFonts w:ascii="Times New Roman" w:hAnsi="Times New Roman" w:cs="Times New Roman"/>
          <w:sz w:val="24"/>
          <w:szCs w:val="24"/>
        </w:rPr>
        <w:t xml:space="preserve"> (нормативно-правовые барьеры и включенность ТГЛ в профилактические программы). </w:t>
      </w:r>
      <w:r w:rsidR="00264D69">
        <w:rPr>
          <w:rFonts w:ascii="Times New Roman" w:hAnsi="Times New Roman" w:cs="Times New Roman"/>
          <w:sz w:val="24"/>
          <w:szCs w:val="24"/>
        </w:rPr>
        <w:t>Во второй части было изучение факторов риска инфицирования ВИЧ и ИППП (риско</w:t>
      </w:r>
      <w:r w:rsidR="004E4377">
        <w:rPr>
          <w:rFonts w:ascii="Times New Roman" w:hAnsi="Times New Roman" w:cs="Times New Roman"/>
          <w:sz w:val="24"/>
          <w:szCs w:val="24"/>
        </w:rPr>
        <w:t>ванное половое и инъекционное поведение</w:t>
      </w:r>
      <w:r w:rsidR="00264D69">
        <w:rPr>
          <w:rFonts w:ascii="Times New Roman" w:hAnsi="Times New Roman" w:cs="Times New Roman"/>
          <w:sz w:val="24"/>
          <w:szCs w:val="24"/>
        </w:rPr>
        <w:t>).</w:t>
      </w:r>
      <w:r w:rsidR="004E4377">
        <w:rPr>
          <w:rFonts w:ascii="Times New Roman" w:hAnsi="Times New Roman" w:cs="Times New Roman"/>
          <w:sz w:val="24"/>
          <w:szCs w:val="24"/>
        </w:rPr>
        <w:t xml:space="preserve"> Третьей частью было доступ к профилактическим программам. </w:t>
      </w:r>
      <w:r w:rsidR="006461A7">
        <w:rPr>
          <w:rFonts w:ascii="Times New Roman" w:hAnsi="Times New Roman" w:cs="Times New Roman"/>
          <w:sz w:val="24"/>
          <w:szCs w:val="24"/>
        </w:rPr>
        <w:t>Выводы исследования показали низкий уровень информированности ТГЛ.</w:t>
      </w:r>
      <w:r w:rsidR="00764E56">
        <w:rPr>
          <w:rFonts w:ascii="Times New Roman" w:hAnsi="Times New Roman" w:cs="Times New Roman"/>
          <w:sz w:val="24"/>
          <w:szCs w:val="24"/>
        </w:rPr>
        <w:t xml:space="preserve"> Из средств защиты для ТГЛ доступны презервативы</w:t>
      </w:r>
      <w:r w:rsidR="00155AEB">
        <w:rPr>
          <w:rFonts w:ascii="Times New Roman" w:hAnsi="Times New Roman" w:cs="Times New Roman"/>
          <w:sz w:val="24"/>
          <w:szCs w:val="24"/>
        </w:rPr>
        <w:t>, а лубриканты не всегда</w:t>
      </w:r>
      <w:r w:rsidR="00764E56">
        <w:rPr>
          <w:rFonts w:ascii="Times New Roman" w:hAnsi="Times New Roman" w:cs="Times New Roman"/>
          <w:sz w:val="24"/>
          <w:szCs w:val="24"/>
        </w:rPr>
        <w:t xml:space="preserve">. </w:t>
      </w:r>
      <w:r w:rsidR="00264D69">
        <w:rPr>
          <w:rFonts w:ascii="Times New Roman" w:hAnsi="Times New Roman" w:cs="Times New Roman"/>
          <w:sz w:val="24"/>
          <w:szCs w:val="24"/>
        </w:rPr>
        <w:t xml:space="preserve">  </w:t>
      </w:r>
      <w:r w:rsidR="00155AEB">
        <w:rPr>
          <w:rFonts w:ascii="Times New Roman" w:hAnsi="Times New Roman" w:cs="Times New Roman"/>
          <w:sz w:val="24"/>
          <w:szCs w:val="24"/>
        </w:rPr>
        <w:t xml:space="preserve">На уровне получения сервисов </w:t>
      </w:r>
      <w:r w:rsidR="003E4AFC">
        <w:rPr>
          <w:rFonts w:ascii="Times New Roman" w:hAnsi="Times New Roman" w:cs="Times New Roman"/>
          <w:sz w:val="24"/>
          <w:szCs w:val="24"/>
        </w:rPr>
        <w:t xml:space="preserve">ТГЛ сталкиваются с трансфобией. Чаще всего это выражается </w:t>
      </w:r>
      <w:r w:rsidR="00575918">
        <w:rPr>
          <w:rFonts w:ascii="Times New Roman" w:hAnsi="Times New Roman" w:cs="Times New Roman"/>
          <w:sz w:val="24"/>
          <w:szCs w:val="24"/>
        </w:rPr>
        <w:t xml:space="preserve">в игнорировании гендерной идентичности человека. </w:t>
      </w:r>
      <w:r w:rsidR="00D3535B">
        <w:rPr>
          <w:rFonts w:ascii="Times New Roman" w:hAnsi="Times New Roman" w:cs="Times New Roman"/>
          <w:sz w:val="24"/>
          <w:szCs w:val="24"/>
        </w:rPr>
        <w:t>Деднейминг, мисгендеринг.</w:t>
      </w:r>
      <w:r w:rsidR="003C24AF">
        <w:rPr>
          <w:rFonts w:ascii="Times New Roman" w:hAnsi="Times New Roman" w:cs="Times New Roman"/>
          <w:sz w:val="24"/>
          <w:szCs w:val="24"/>
        </w:rPr>
        <w:t xml:space="preserve"> Проблемы получения ТГЛ, живущими с ВИЧ</w:t>
      </w:r>
      <w:r w:rsidR="00A8682F">
        <w:rPr>
          <w:rFonts w:ascii="Times New Roman" w:hAnsi="Times New Roman" w:cs="Times New Roman"/>
          <w:sz w:val="24"/>
          <w:szCs w:val="24"/>
        </w:rPr>
        <w:t>. Невозможность иметь документов, соответствующей гендерной идентичности</w:t>
      </w:r>
      <w:r w:rsidR="00387ACF">
        <w:rPr>
          <w:rFonts w:ascii="Times New Roman" w:hAnsi="Times New Roman" w:cs="Times New Roman"/>
          <w:sz w:val="24"/>
          <w:szCs w:val="24"/>
        </w:rPr>
        <w:t>, является одним из главных барьеров в доступе к тестированию</w:t>
      </w:r>
      <w:r w:rsidR="004B6C79">
        <w:rPr>
          <w:rFonts w:ascii="Times New Roman" w:hAnsi="Times New Roman" w:cs="Times New Roman"/>
          <w:sz w:val="24"/>
          <w:szCs w:val="24"/>
        </w:rPr>
        <w:t xml:space="preserve">. </w:t>
      </w:r>
      <w:r w:rsidR="00810637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113FB2">
        <w:rPr>
          <w:rFonts w:ascii="Times New Roman" w:hAnsi="Times New Roman" w:cs="Times New Roman"/>
          <w:sz w:val="24"/>
          <w:szCs w:val="24"/>
        </w:rPr>
        <w:t>и</w:t>
      </w:r>
      <w:r w:rsidR="00810637">
        <w:rPr>
          <w:rFonts w:ascii="Times New Roman" w:hAnsi="Times New Roman" w:cs="Times New Roman"/>
          <w:sz w:val="24"/>
          <w:szCs w:val="24"/>
        </w:rPr>
        <w:t xml:space="preserve">сследования ТГЛ </w:t>
      </w:r>
      <w:r w:rsidR="00C212EF">
        <w:rPr>
          <w:rFonts w:ascii="Times New Roman" w:hAnsi="Times New Roman" w:cs="Times New Roman"/>
          <w:sz w:val="24"/>
          <w:szCs w:val="24"/>
        </w:rPr>
        <w:t xml:space="preserve">включить как отдельную целевую </w:t>
      </w:r>
      <w:r w:rsidR="00951DB0">
        <w:rPr>
          <w:rFonts w:ascii="Times New Roman" w:hAnsi="Times New Roman" w:cs="Times New Roman"/>
          <w:sz w:val="24"/>
          <w:szCs w:val="24"/>
        </w:rPr>
        <w:t>группу,</w:t>
      </w:r>
      <w:r w:rsidR="00E020B2">
        <w:rPr>
          <w:rFonts w:ascii="Times New Roman" w:hAnsi="Times New Roman" w:cs="Times New Roman"/>
          <w:sz w:val="24"/>
          <w:szCs w:val="24"/>
        </w:rPr>
        <w:t xml:space="preserve"> и чтобы ТГЛ были не только бенефициарами, но и активно участвовали в разработке и </w:t>
      </w:r>
      <w:r w:rsidR="00276AC7">
        <w:rPr>
          <w:rFonts w:ascii="Times New Roman" w:hAnsi="Times New Roman" w:cs="Times New Roman"/>
          <w:sz w:val="24"/>
          <w:szCs w:val="24"/>
        </w:rPr>
        <w:t>имплементации</w:t>
      </w:r>
      <w:r w:rsidR="0078173E">
        <w:rPr>
          <w:rFonts w:ascii="Times New Roman" w:hAnsi="Times New Roman" w:cs="Times New Roman"/>
          <w:sz w:val="24"/>
          <w:szCs w:val="24"/>
        </w:rPr>
        <w:t xml:space="preserve"> профилактических программ</w:t>
      </w:r>
      <w:r w:rsidR="00C212EF">
        <w:rPr>
          <w:rFonts w:ascii="Times New Roman" w:hAnsi="Times New Roman" w:cs="Times New Roman"/>
          <w:sz w:val="24"/>
          <w:szCs w:val="24"/>
        </w:rPr>
        <w:t xml:space="preserve">. Трансклюзивный подход к профилактике ВИЧ и ИППП. </w:t>
      </w:r>
      <w:r w:rsidR="001A5B02">
        <w:rPr>
          <w:rFonts w:ascii="Times New Roman" w:hAnsi="Times New Roman" w:cs="Times New Roman"/>
          <w:sz w:val="24"/>
          <w:szCs w:val="24"/>
        </w:rPr>
        <w:t xml:space="preserve">Работа по профилактике </w:t>
      </w:r>
      <w:r w:rsidR="00A325CE">
        <w:rPr>
          <w:rFonts w:ascii="Times New Roman" w:hAnsi="Times New Roman" w:cs="Times New Roman"/>
          <w:sz w:val="24"/>
          <w:szCs w:val="24"/>
        </w:rPr>
        <w:t xml:space="preserve">должна проводиться как с трансфеминными, так и с трансмаскулинными и небинарными людьми. </w:t>
      </w:r>
      <w:r w:rsidR="00276AC7">
        <w:rPr>
          <w:rFonts w:ascii="Times New Roman" w:hAnsi="Times New Roman" w:cs="Times New Roman"/>
          <w:sz w:val="24"/>
          <w:szCs w:val="24"/>
        </w:rPr>
        <w:t>Информирование ТГЛ</w:t>
      </w:r>
      <w:r w:rsidR="00951DB0">
        <w:rPr>
          <w:rFonts w:ascii="Times New Roman" w:hAnsi="Times New Roman" w:cs="Times New Roman"/>
          <w:sz w:val="24"/>
          <w:szCs w:val="24"/>
        </w:rPr>
        <w:t xml:space="preserve"> должна предоставляться так чтобы люди могли </w:t>
      </w:r>
      <w:r w:rsidR="003C108E">
        <w:rPr>
          <w:rFonts w:ascii="Times New Roman" w:hAnsi="Times New Roman" w:cs="Times New Roman"/>
          <w:sz w:val="24"/>
          <w:szCs w:val="24"/>
        </w:rPr>
        <w:t xml:space="preserve">ассоциировать себя с ней напрямую. Необходимо информировать руководителей и работников учреждений и организаций, предоставляющих сервисы. </w:t>
      </w:r>
      <w:r w:rsidR="00866A9D">
        <w:rPr>
          <w:rFonts w:ascii="Times New Roman" w:hAnsi="Times New Roman" w:cs="Times New Roman"/>
          <w:sz w:val="24"/>
          <w:szCs w:val="24"/>
        </w:rPr>
        <w:t>Необходимо обеспечить доступ к тестированию, профилактике и лечению ВИЧ и ИППП</w:t>
      </w:r>
      <w:r w:rsidR="00AF0BB3">
        <w:rPr>
          <w:rFonts w:ascii="Times New Roman" w:hAnsi="Times New Roman" w:cs="Times New Roman"/>
          <w:sz w:val="24"/>
          <w:szCs w:val="24"/>
        </w:rPr>
        <w:t xml:space="preserve"> для ТГЛ</w:t>
      </w:r>
      <w:r w:rsidR="00866A9D">
        <w:rPr>
          <w:rFonts w:ascii="Times New Roman" w:hAnsi="Times New Roman" w:cs="Times New Roman"/>
          <w:sz w:val="24"/>
          <w:szCs w:val="24"/>
        </w:rPr>
        <w:t>.</w:t>
      </w:r>
      <w:r w:rsidR="0078173E">
        <w:rPr>
          <w:rFonts w:ascii="Times New Roman" w:hAnsi="Times New Roman" w:cs="Times New Roman"/>
          <w:sz w:val="24"/>
          <w:szCs w:val="24"/>
        </w:rPr>
        <w:t xml:space="preserve"> </w:t>
      </w:r>
      <w:r w:rsidR="006F14EE">
        <w:rPr>
          <w:rFonts w:ascii="Times New Roman" w:hAnsi="Times New Roman" w:cs="Times New Roman"/>
          <w:sz w:val="24"/>
          <w:szCs w:val="24"/>
        </w:rPr>
        <w:t xml:space="preserve">Необходимо изменение </w:t>
      </w:r>
      <w:r w:rsidR="00037A1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6F14EE">
        <w:rPr>
          <w:rFonts w:ascii="Times New Roman" w:hAnsi="Times New Roman" w:cs="Times New Roman"/>
          <w:sz w:val="24"/>
          <w:szCs w:val="24"/>
        </w:rPr>
        <w:t xml:space="preserve"> для снижения уровня насилия и дискриминации </w:t>
      </w:r>
      <w:r w:rsidR="00037A18">
        <w:rPr>
          <w:rFonts w:ascii="Times New Roman" w:hAnsi="Times New Roman" w:cs="Times New Roman"/>
          <w:sz w:val="24"/>
          <w:szCs w:val="24"/>
        </w:rPr>
        <w:t>и получения доступа к здравоохранению для трансгендерных людей.</w:t>
      </w:r>
      <w:r w:rsidR="007B0BE9" w:rsidRPr="007B0BE9">
        <w:rPr>
          <w:rFonts w:ascii="Times New Roman" w:hAnsi="Times New Roman" w:cs="Times New Roman"/>
          <w:sz w:val="24"/>
          <w:szCs w:val="24"/>
        </w:rPr>
        <w:t xml:space="preserve"> 19 </w:t>
      </w:r>
      <w:r w:rsidR="007B0BE9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443C65">
        <w:rPr>
          <w:rFonts w:ascii="Times New Roman" w:hAnsi="Times New Roman" w:cs="Times New Roman"/>
          <w:sz w:val="24"/>
          <w:szCs w:val="24"/>
        </w:rPr>
        <w:t xml:space="preserve">2022 года </w:t>
      </w:r>
      <w:r w:rsidR="007B0BE9">
        <w:rPr>
          <w:rFonts w:ascii="Times New Roman" w:hAnsi="Times New Roman" w:cs="Times New Roman"/>
          <w:sz w:val="24"/>
          <w:szCs w:val="24"/>
        </w:rPr>
        <w:t xml:space="preserve">планируется презентация </w:t>
      </w:r>
      <w:r w:rsidR="00443C65">
        <w:rPr>
          <w:rFonts w:ascii="Times New Roman" w:hAnsi="Times New Roman" w:cs="Times New Roman"/>
          <w:sz w:val="24"/>
          <w:szCs w:val="24"/>
        </w:rPr>
        <w:t>данного исследования.</w:t>
      </w:r>
    </w:p>
    <w:p w14:paraId="14D3E5C8" w14:textId="5491AF37" w:rsidR="00076EED" w:rsidRDefault="00076EED" w:rsidP="00003A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3FBAB1E" w14:textId="1FFCEDD2" w:rsidR="00443C65" w:rsidRDefault="00443C65" w:rsidP="00003A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Обсуждение: участники утоняли есть ли на законодательном уровне утвержденные определения ТГЛ. </w:t>
      </w:r>
      <w:r w:rsidR="002925B4">
        <w:rPr>
          <w:rFonts w:ascii="Times New Roman" w:hAnsi="Times New Roman" w:cs="Times New Roman"/>
          <w:sz w:val="24"/>
          <w:szCs w:val="24"/>
        </w:rPr>
        <w:t xml:space="preserve">Участники отметили, что ОФ «Реванш» разрабатывает определение по </w:t>
      </w:r>
      <w:r w:rsidR="00AD733A">
        <w:rPr>
          <w:rFonts w:ascii="Times New Roman" w:hAnsi="Times New Roman" w:cs="Times New Roman"/>
          <w:sz w:val="24"/>
          <w:szCs w:val="24"/>
        </w:rPr>
        <w:t>четыре</w:t>
      </w:r>
      <w:r w:rsidR="002925B4">
        <w:rPr>
          <w:rFonts w:ascii="Times New Roman" w:hAnsi="Times New Roman" w:cs="Times New Roman"/>
          <w:sz w:val="24"/>
          <w:szCs w:val="24"/>
        </w:rPr>
        <w:t xml:space="preserve">м КГН, но там нет трансгендерных </w:t>
      </w:r>
      <w:r w:rsidR="00AD733A">
        <w:rPr>
          <w:rFonts w:ascii="Times New Roman" w:hAnsi="Times New Roman" w:cs="Times New Roman"/>
          <w:sz w:val="24"/>
          <w:szCs w:val="24"/>
        </w:rPr>
        <w:t xml:space="preserve">людей. Необходимо </w:t>
      </w:r>
      <w:r w:rsidR="00BE7DAE">
        <w:rPr>
          <w:rFonts w:ascii="Times New Roman" w:hAnsi="Times New Roman" w:cs="Times New Roman"/>
          <w:sz w:val="24"/>
          <w:szCs w:val="24"/>
        </w:rPr>
        <w:t xml:space="preserve">расширить категорию КГН, </w:t>
      </w:r>
      <w:r w:rsidR="00AD733A">
        <w:rPr>
          <w:rFonts w:ascii="Times New Roman" w:hAnsi="Times New Roman" w:cs="Times New Roman"/>
          <w:sz w:val="24"/>
          <w:szCs w:val="24"/>
        </w:rPr>
        <w:t xml:space="preserve">чтобы внесли эту группу </w:t>
      </w:r>
      <w:r w:rsidR="00BE7DAE">
        <w:rPr>
          <w:rFonts w:ascii="Times New Roman" w:hAnsi="Times New Roman" w:cs="Times New Roman"/>
          <w:sz w:val="24"/>
          <w:szCs w:val="24"/>
        </w:rPr>
        <w:t>Т</w:t>
      </w:r>
      <w:r w:rsidR="00AD733A">
        <w:rPr>
          <w:rFonts w:ascii="Times New Roman" w:hAnsi="Times New Roman" w:cs="Times New Roman"/>
          <w:sz w:val="24"/>
          <w:szCs w:val="24"/>
        </w:rPr>
        <w:t xml:space="preserve">ГЛ, чтобы в дальнейшем </w:t>
      </w:r>
      <w:r w:rsidR="00BE7DAE">
        <w:rPr>
          <w:rFonts w:ascii="Times New Roman" w:hAnsi="Times New Roman" w:cs="Times New Roman"/>
          <w:sz w:val="24"/>
          <w:szCs w:val="24"/>
        </w:rPr>
        <w:t xml:space="preserve">можно было разработать стандарты. </w:t>
      </w:r>
    </w:p>
    <w:p w14:paraId="762260A8" w14:textId="1CECEEF9" w:rsidR="00076EED" w:rsidRDefault="005D5979" w:rsidP="00003A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уточняли </w:t>
      </w:r>
      <w:r w:rsidR="003F7407">
        <w:rPr>
          <w:rFonts w:ascii="Times New Roman" w:hAnsi="Times New Roman" w:cs="Times New Roman"/>
          <w:sz w:val="24"/>
          <w:szCs w:val="24"/>
        </w:rPr>
        <w:t xml:space="preserve">оценочную </w:t>
      </w:r>
      <w:r>
        <w:rPr>
          <w:rFonts w:ascii="Times New Roman" w:hAnsi="Times New Roman" w:cs="Times New Roman"/>
          <w:sz w:val="24"/>
          <w:szCs w:val="24"/>
        </w:rPr>
        <w:t>численность ТГЛ</w:t>
      </w:r>
      <w:r w:rsidR="003F7407">
        <w:rPr>
          <w:rFonts w:ascii="Times New Roman" w:hAnsi="Times New Roman" w:cs="Times New Roman"/>
          <w:sz w:val="24"/>
          <w:szCs w:val="24"/>
        </w:rPr>
        <w:t xml:space="preserve">? Ответ: 0,1% от общего населения. </w:t>
      </w:r>
      <w:r w:rsidR="005203F5">
        <w:rPr>
          <w:rFonts w:ascii="Times New Roman" w:hAnsi="Times New Roman" w:cs="Times New Roman"/>
          <w:sz w:val="24"/>
          <w:szCs w:val="24"/>
        </w:rPr>
        <w:t>Чем отличаются потребности трансгендерных людей и МСМ?</w:t>
      </w:r>
      <w:r w:rsidR="00D75958">
        <w:rPr>
          <w:rFonts w:ascii="Times New Roman" w:hAnsi="Times New Roman" w:cs="Times New Roman"/>
          <w:sz w:val="24"/>
          <w:szCs w:val="24"/>
        </w:rPr>
        <w:t xml:space="preserve"> ТГЛ более закрытые. Уровень </w:t>
      </w:r>
      <w:r w:rsidR="00D75958">
        <w:rPr>
          <w:rFonts w:ascii="Times New Roman" w:hAnsi="Times New Roman" w:cs="Times New Roman"/>
          <w:sz w:val="24"/>
          <w:szCs w:val="24"/>
        </w:rPr>
        <w:lastRenderedPageBreak/>
        <w:t xml:space="preserve">стигмы больше. ТГЛ на гормональной терапии и совместимость с АРТ </w:t>
      </w:r>
      <w:r w:rsidR="00BF20A9">
        <w:rPr>
          <w:rFonts w:ascii="Times New Roman" w:hAnsi="Times New Roman" w:cs="Times New Roman"/>
          <w:sz w:val="24"/>
          <w:szCs w:val="24"/>
        </w:rPr>
        <w:t xml:space="preserve">представляется сложным. </w:t>
      </w:r>
    </w:p>
    <w:p w14:paraId="4898949B" w14:textId="18A75B2C" w:rsidR="00BF20A9" w:rsidRDefault="00BF20A9" w:rsidP="00003A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также обсуждали законы соседних стран, запрещающие ТГЛ в обществе. </w:t>
      </w:r>
      <w:r w:rsidR="00B3318C">
        <w:rPr>
          <w:rFonts w:ascii="Times New Roman" w:hAnsi="Times New Roman" w:cs="Times New Roman"/>
          <w:sz w:val="24"/>
          <w:szCs w:val="24"/>
        </w:rPr>
        <w:t>В настоящее время активно осуществляется поиск жилья</w:t>
      </w:r>
      <w:r w:rsidR="008A1BB9">
        <w:rPr>
          <w:rFonts w:ascii="Times New Roman" w:hAnsi="Times New Roman" w:cs="Times New Roman"/>
          <w:sz w:val="24"/>
          <w:szCs w:val="24"/>
        </w:rPr>
        <w:t xml:space="preserve">. С сентября 2022 года увеличился спрос на АРТ со стороны мигрантов. </w:t>
      </w:r>
    </w:p>
    <w:p w14:paraId="154EB85D" w14:textId="3E09F8AB" w:rsidR="00F44BCB" w:rsidRDefault="009C6648" w:rsidP="00003A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603E40">
        <w:rPr>
          <w:rFonts w:ascii="Times New Roman" w:hAnsi="Times New Roman" w:cs="Times New Roman"/>
          <w:sz w:val="24"/>
          <w:szCs w:val="24"/>
        </w:rPr>
        <w:t>отметили, что важно знать статистические данные по сообществу, поскольку финансирование и другие показатели основан</w:t>
      </w:r>
      <w:r w:rsidR="00DA0B72">
        <w:rPr>
          <w:rFonts w:ascii="Times New Roman" w:hAnsi="Times New Roman" w:cs="Times New Roman"/>
          <w:sz w:val="24"/>
          <w:szCs w:val="24"/>
        </w:rPr>
        <w:t xml:space="preserve">ы на </w:t>
      </w:r>
    </w:p>
    <w:p w14:paraId="6F817D53" w14:textId="55B1C6FF" w:rsidR="00603E40" w:rsidRDefault="00603E40" w:rsidP="00003A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02C0991" w14:textId="4416861F" w:rsidR="00603E40" w:rsidRDefault="006D3A85" w:rsidP="00003A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круглого стола участники разделились на 2 группы и </w:t>
      </w:r>
      <w:r w:rsidR="00BC1431">
        <w:rPr>
          <w:rFonts w:ascii="Times New Roman" w:hAnsi="Times New Roman" w:cs="Times New Roman"/>
          <w:sz w:val="24"/>
          <w:szCs w:val="24"/>
        </w:rPr>
        <w:t>составили список проблем и выработали возможные пути решения</w:t>
      </w:r>
      <w:r w:rsidR="0092137A">
        <w:rPr>
          <w:rFonts w:ascii="Times New Roman" w:hAnsi="Times New Roman" w:cs="Times New Roman"/>
          <w:sz w:val="24"/>
          <w:szCs w:val="24"/>
        </w:rPr>
        <w:t>, основанные на презентациях и докладах</w:t>
      </w:r>
      <w:r w:rsidR="007C7CB0">
        <w:rPr>
          <w:rFonts w:ascii="Times New Roman" w:hAnsi="Times New Roman" w:cs="Times New Roman"/>
          <w:sz w:val="24"/>
          <w:szCs w:val="24"/>
        </w:rPr>
        <w:t xml:space="preserve"> настоящего мероприятия</w:t>
      </w:r>
      <w:r w:rsidR="00BC14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884C2A" w14:textId="3A503810" w:rsidR="00BC1431" w:rsidRDefault="00BC1431" w:rsidP="00003A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28386DE" w14:textId="6E7AA63F" w:rsidR="004E1312" w:rsidRDefault="004E1312" w:rsidP="00003A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93E03">
        <w:rPr>
          <w:rFonts w:ascii="Times New Roman" w:hAnsi="Times New Roman" w:cs="Times New Roman"/>
          <w:b/>
          <w:bCs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48B51F" w14:textId="4F4DF0E1" w:rsidR="004E1312" w:rsidRDefault="00C14C49" w:rsidP="00C14C49">
      <w:pPr>
        <w:pStyle w:val="a6"/>
        <w:numPr>
          <w:ilvl w:val="3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Предпочтени</w:t>
      </w:r>
      <w:r w:rsidR="00FB7F8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отдается НПО при распределении ГСЗ </w:t>
      </w:r>
      <w:r w:rsidR="00FB7F81">
        <w:rPr>
          <w:rFonts w:ascii="Times New Roman" w:hAnsi="Times New Roman" w:cs="Times New Roman"/>
          <w:sz w:val="24"/>
          <w:szCs w:val="24"/>
        </w:rPr>
        <w:t>без региональной привязки;</w:t>
      </w:r>
    </w:p>
    <w:p w14:paraId="73C0DD84" w14:textId="710370AF" w:rsidR="00FB7F81" w:rsidRDefault="00FB7F81" w:rsidP="00C14C49">
      <w:pPr>
        <w:pStyle w:val="a6"/>
        <w:numPr>
          <w:ilvl w:val="3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снижения вреда </w:t>
      </w:r>
      <w:r w:rsidR="00E0156A">
        <w:rPr>
          <w:rFonts w:ascii="Times New Roman" w:hAnsi="Times New Roman" w:cs="Times New Roman"/>
          <w:sz w:val="24"/>
          <w:szCs w:val="24"/>
        </w:rPr>
        <w:t>не отвечают потребностям потребителей новых психоактивных веществ</w:t>
      </w:r>
      <w:r w:rsidR="007A35B8">
        <w:rPr>
          <w:rFonts w:ascii="Times New Roman" w:hAnsi="Times New Roman" w:cs="Times New Roman"/>
          <w:sz w:val="24"/>
          <w:szCs w:val="24"/>
        </w:rPr>
        <w:t xml:space="preserve"> (далее - ПАВ)</w:t>
      </w:r>
      <w:r w:rsidR="00E0156A">
        <w:rPr>
          <w:rFonts w:ascii="Times New Roman" w:hAnsi="Times New Roman" w:cs="Times New Roman"/>
          <w:sz w:val="24"/>
          <w:szCs w:val="24"/>
        </w:rPr>
        <w:t>;</w:t>
      </w:r>
    </w:p>
    <w:p w14:paraId="5A1A97F3" w14:textId="6D551198" w:rsidR="00E0156A" w:rsidRDefault="00BB6AA4" w:rsidP="00C14C49">
      <w:pPr>
        <w:pStyle w:val="a6"/>
        <w:numPr>
          <w:ilvl w:val="3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 понятие Трансгендерные люди в нормативно</w:t>
      </w:r>
      <w:r w:rsidR="007943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распорядительных документах;</w:t>
      </w:r>
    </w:p>
    <w:p w14:paraId="1C73371B" w14:textId="3C8343A2" w:rsidR="00BB6AA4" w:rsidRDefault="007943A5" w:rsidP="00C14C49">
      <w:pPr>
        <w:pStyle w:val="a6"/>
        <w:numPr>
          <w:ilvl w:val="3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разработаны стандарты специальных социальных услуг для лиц из ключевых групп населения;</w:t>
      </w:r>
    </w:p>
    <w:p w14:paraId="12C678E2" w14:textId="1FFD4EB0" w:rsidR="007943A5" w:rsidRDefault="00734D20" w:rsidP="00C14C49">
      <w:pPr>
        <w:pStyle w:val="a6"/>
        <w:numPr>
          <w:ilvl w:val="3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Недостаточный контент образовательной программы по ВИЧ, ИППП, </w:t>
      </w:r>
      <w:r w:rsidR="007A35B8">
        <w:rPr>
          <w:rFonts w:ascii="Times New Roman" w:hAnsi="Times New Roman" w:cs="Times New Roman"/>
          <w:sz w:val="24"/>
          <w:szCs w:val="24"/>
        </w:rPr>
        <w:t>сексуального репродуктивного здоровья, программы ПАВ;</w:t>
      </w:r>
    </w:p>
    <w:p w14:paraId="53C07C25" w14:textId="42321A4C" w:rsidR="007A35B8" w:rsidRDefault="004303D5" w:rsidP="00C14C49">
      <w:pPr>
        <w:pStyle w:val="a6"/>
        <w:numPr>
          <w:ilvl w:val="3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информированность представителей правоохранительных органов и общего населения;</w:t>
      </w:r>
    </w:p>
    <w:p w14:paraId="1727BED0" w14:textId="1F632F9C" w:rsidR="004303D5" w:rsidRDefault="00E93E03" w:rsidP="00C14C49">
      <w:pPr>
        <w:pStyle w:val="a6"/>
        <w:numPr>
          <w:ilvl w:val="3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стигмы и дискриминации.</w:t>
      </w:r>
    </w:p>
    <w:p w14:paraId="3B262833" w14:textId="68F83335" w:rsidR="00250115" w:rsidRDefault="005B0C78" w:rsidP="00C14C49">
      <w:pPr>
        <w:pStyle w:val="a6"/>
        <w:numPr>
          <w:ilvl w:val="3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</w:t>
      </w:r>
      <w:r w:rsidR="00250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гибкость в нормативно-распорядительных документах чтобы </w:t>
      </w:r>
      <w:r w:rsidR="00267ABE">
        <w:rPr>
          <w:rFonts w:ascii="Times New Roman" w:hAnsi="Times New Roman" w:cs="Times New Roman"/>
          <w:sz w:val="24"/>
          <w:szCs w:val="24"/>
        </w:rPr>
        <w:t>поставщики услуг могли проявлять гибкость в предоставлении услуг в чрезвычайных ситуациях;</w:t>
      </w:r>
    </w:p>
    <w:p w14:paraId="792C1481" w14:textId="19C60E12" w:rsidR="00267ABE" w:rsidRDefault="00B31FE0" w:rsidP="00C14C49">
      <w:pPr>
        <w:pStyle w:val="a6"/>
        <w:numPr>
          <w:ilvl w:val="3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исследования </w:t>
      </w:r>
      <w:r w:rsidR="00267ABE">
        <w:rPr>
          <w:rFonts w:ascii="Times New Roman" w:hAnsi="Times New Roman" w:cs="Times New Roman"/>
          <w:sz w:val="24"/>
          <w:szCs w:val="24"/>
          <w:lang w:val="en-US"/>
        </w:rPr>
        <w:t>SROI</w:t>
      </w:r>
      <w:r w:rsidR="00267ABE">
        <w:rPr>
          <w:rFonts w:ascii="Times New Roman" w:hAnsi="Times New Roman" w:cs="Times New Roman"/>
          <w:sz w:val="24"/>
          <w:szCs w:val="24"/>
        </w:rPr>
        <w:t xml:space="preserve"> </w:t>
      </w:r>
      <w:r w:rsidR="0092137A">
        <w:rPr>
          <w:rFonts w:ascii="Times New Roman" w:hAnsi="Times New Roman" w:cs="Times New Roman"/>
          <w:sz w:val="24"/>
          <w:szCs w:val="24"/>
        </w:rPr>
        <w:t>пока может использоваться как результат пилотного исследования.</w:t>
      </w:r>
    </w:p>
    <w:p w14:paraId="5E168382" w14:textId="77777777" w:rsidR="0092137A" w:rsidRDefault="0092137A" w:rsidP="0092137A">
      <w:pPr>
        <w:pStyle w:val="a6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462D90B" w14:textId="493E5095" w:rsidR="00E93E03" w:rsidRDefault="00E93E03" w:rsidP="00E93E03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3E03">
        <w:rPr>
          <w:rFonts w:ascii="Times New Roman" w:hAnsi="Times New Roman" w:cs="Times New Roman"/>
          <w:b/>
          <w:bCs/>
          <w:sz w:val="24"/>
          <w:szCs w:val="24"/>
        </w:rPr>
        <w:t>Пути решения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21EF43B" w14:textId="5A09198D" w:rsidR="00AC1D3C" w:rsidRPr="00AC1D3C" w:rsidRDefault="00E93E03" w:rsidP="00E93E0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C1D3C" w:rsidRPr="00AC1D3C">
        <w:rPr>
          <w:rFonts w:ascii="Times New Roman" w:hAnsi="Times New Roman" w:cs="Times New Roman"/>
          <w:sz w:val="24"/>
          <w:szCs w:val="24"/>
        </w:rPr>
        <w:t xml:space="preserve">Необходимо внести изменения в Закон о </w:t>
      </w:r>
      <w:r w:rsidR="00AC1D3C">
        <w:rPr>
          <w:rFonts w:ascii="Times New Roman" w:hAnsi="Times New Roman" w:cs="Times New Roman"/>
          <w:sz w:val="24"/>
          <w:szCs w:val="24"/>
        </w:rPr>
        <w:t xml:space="preserve">государственном социальном </w:t>
      </w:r>
      <w:r w:rsidR="00AC1D3C" w:rsidRPr="00AC1D3C">
        <w:rPr>
          <w:rFonts w:ascii="Times New Roman" w:hAnsi="Times New Roman" w:cs="Times New Roman"/>
          <w:sz w:val="24"/>
          <w:szCs w:val="24"/>
        </w:rPr>
        <w:t>заказе без привязки к региону с обязательной экспертизой организации</w:t>
      </w:r>
    </w:p>
    <w:p w14:paraId="788C28D6" w14:textId="0D7033B0" w:rsidR="00AC1D3C" w:rsidRPr="00AC1D3C" w:rsidRDefault="00AC1D3C" w:rsidP="00E93E03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D3C">
        <w:rPr>
          <w:rFonts w:ascii="Times New Roman" w:hAnsi="Times New Roman" w:cs="Times New Roman"/>
          <w:sz w:val="24"/>
          <w:szCs w:val="24"/>
        </w:rPr>
        <w:t xml:space="preserve">Внести дополнения в Приказ 137 </w:t>
      </w:r>
      <w:r w:rsidRPr="00AC1D3C">
        <w:rPr>
          <w:rFonts w:ascii="Times New Roman" w:hAnsi="Times New Roman" w:cs="Times New Roman"/>
          <w:sz w:val="24"/>
          <w:szCs w:val="24"/>
        </w:rPr>
        <w:t>по программам</w:t>
      </w:r>
      <w:r w:rsidRPr="00AC1D3C">
        <w:rPr>
          <w:rFonts w:ascii="Times New Roman" w:hAnsi="Times New Roman" w:cs="Times New Roman"/>
          <w:sz w:val="24"/>
          <w:szCs w:val="24"/>
        </w:rPr>
        <w:t xml:space="preserve"> снижения вреда для включения в ключевые группы ТГЛ и потребителей НПВ. Продублировать рекомендации в КНЦДИЗ (</w:t>
      </w:r>
      <w:r w:rsidR="00F02C63">
        <w:rPr>
          <w:rFonts w:ascii="Times New Roman" w:hAnsi="Times New Roman" w:cs="Times New Roman"/>
          <w:sz w:val="24"/>
          <w:szCs w:val="24"/>
        </w:rPr>
        <w:t>отдел профилактики</w:t>
      </w:r>
      <w:r w:rsidRPr="00AC1D3C">
        <w:rPr>
          <w:rFonts w:ascii="Times New Roman" w:hAnsi="Times New Roman" w:cs="Times New Roman"/>
          <w:sz w:val="24"/>
          <w:szCs w:val="24"/>
        </w:rPr>
        <w:t xml:space="preserve">) по информированию НПО о статусе обновления 137 приказа </w:t>
      </w:r>
    </w:p>
    <w:p w14:paraId="34079CCC" w14:textId="77777777" w:rsidR="00AC1D3C" w:rsidRPr="00AC1D3C" w:rsidRDefault="00AC1D3C" w:rsidP="00E93E03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D3C">
        <w:rPr>
          <w:rFonts w:ascii="Times New Roman" w:hAnsi="Times New Roman" w:cs="Times New Roman"/>
          <w:sz w:val="24"/>
          <w:szCs w:val="24"/>
        </w:rPr>
        <w:t>Обсуждение проекта и внесение изменений в Стандарты специальных социальных услуг для КГН, добавить группу ТГЛ. Организовать круглый стол со всеми ключевыми группами. Привлечь для согласования финального проекта депутатов, журналистов</w:t>
      </w:r>
    </w:p>
    <w:p w14:paraId="2316FCAD" w14:textId="77777777" w:rsidR="00AC1D3C" w:rsidRPr="00AC1D3C" w:rsidRDefault="00AC1D3C" w:rsidP="00E93E03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D3C">
        <w:rPr>
          <w:rFonts w:ascii="Times New Roman" w:hAnsi="Times New Roman" w:cs="Times New Roman"/>
          <w:sz w:val="24"/>
          <w:szCs w:val="24"/>
        </w:rPr>
        <w:t xml:space="preserve">Разработать учебные модули в связи с возрастной категорией по профилактике ВИЧ, наркомании, стигма и дискриминация. Тестирование модулей в рамках пилотного проекта с целью обоснования дальнейшего финансирования </w:t>
      </w:r>
    </w:p>
    <w:p w14:paraId="43E84606" w14:textId="77777777" w:rsidR="00AC1D3C" w:rsidRPr="00AC1D3C" w:rsidRDefault="00AC1D3C" w:rsidP="00E93E03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D3C">
        <w:rPr>
          <w:rFonts w:ascii="Times New Roman" w:hAnsi="Times New Roman" w:cs="Times New Roman"/>
          <w:sz w:val="24"/>
          <w:szCs w:val="24"/>
        </w:rPr>
        <w:t>Обсуждение антидискриминационного закона</w:t>
      </w:r>
    </w:p>
    <w:p w14:paraId="40D33177" w14:textId="77777777" w:rsidR="00AC1D3C" w:rsidRPr="00AC1D3C" w:rsidRDefault="00AC1D3C" w:rsidP="00E93E03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D3C">
        <w:rPr>
          <w:rFonts w:ascii="Times New Roman" w:hAnsi="Times New Roman" w:cs="Times New Roman"/>
          <w:sz w:val="24"/>
          <w:szCs w:val="24"/>
        </w:rPr>
        <w:t>Разработка плана обучения для МВД</w:t>
      </w:r>
    </w:p>
    <w:p w14:paraId="187AD6D5" w14:textId="0AC69756" w:rsidR="00AC1D3C" w:rsidRDefault="00AC1D3C" w:rsidP="00E93E03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D3C">
        <w:rPr>
          <w:rFonts w:ascii="Times New Roman" w:hAnsi="Times New Roman" w:cs="Times New Roman"/>
          <w:sz w:val="24"/>
          <w:szCs w:val="24"/>
        </w:rPr>
        <w:t>Децентрализация и передача полного пакета услуг по тестированию, консультированию и подключению к лечению ВИЧ ключевых групп населения в ПМСП и НПО с обучением штата специалистов (психологов, медсестер</w:t>
      </w:r>
      <w:r w:rsidR="005626A2">
        <w:rPr>
          <w:rFonts w:ascii="Times New Roman" w:hAnsi="Times New Roman" w:cs="Times New Roman"/>
          <w:sz w:val="24"/>
          <w:szCs w:val="24"/>
        </w:rPr>
        <w:t>, инфекционистов и т. д.)</w:t>
      </w:r>
    </w:p>
    <w:p w14:paraId="7FA86640" w14:textId="35572A57" w:rsidR="00B31FE0" w:rsidRDefault="00B31FE0" w:rsidP="00E93E03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провести анализ нормативно распорядительных документов на предмет проявления гибкости в предоставлении услуг при чрезвычайных ситуациях.</w:t>
      </w:r>
    </w:p>
    <w:p w14:paraId="424B0D19" w14:textId="3BC7460A" w:rsidR="00B31FE0" w:rsidRDefault="00B31FE0" w:rsidP="00B31FE0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расширить исследование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SROI</w:t>
      </w:r>
      <w:r>
        <w:rPr>
          <w:rFonts w:ascii="Times New Roman" w:hAnsi="Times New Roman" w:cs="Times New Roman"/>
          <w:sz w:val="24"/>
          <w:szCs w:val="24"/>
        </w:rPr>
        <w:t xml:space="preserve"> по Казахстану.</w:t>
      </w:r>
    </w:p>
    <w:p w14:paraId="6C0022E5" w14:textId="77777777" w:rsidR="00B31FE0" w:rsidRDefault="00B31FE0" w:rsidP="00B31FE0">
      <w:pPr>
        <w:pStyle w:val="a6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8ACF17D" w14:textId="4DB92F83" w:rsidR="005626A2" w:rsidRDefault="005626A2" w:rsidP="005626A2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608C08" w14:textId="6851A86D" w:rsidR="005626A2" w:rsidRPr="005626A2" w:rsidRDefault="005626A2" w:rsidP="005626A2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6A2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председателя СКК     </w:t>
      </w:r>
      <w:r w:rsidRPr="005626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626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626A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5626A2">
        <w:rPr>
          <w:rFonts w:ascii="Times New Roman" w:hAnsi="Times New Roman" w:cs="Times New Roman"/>
          <w:b/>
          <w:bCs/>
          <w:sz w:val="24"/>
          <w:szCs w:val="24"/>
        </w:rPr>
        <w:t>М.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26A2">
        <w:rPr>
          <w:rFonts w:ascii="Times New Roman" w:hAnsi="Times New Roman" w:cs="Times New Roman"/>
          <w:b/>
          <w:bCs/>
          <w:sz w:val="24"/>
          <w:szCs w:val="24"/>
        </w:rPr>
        <w:t xml:space="preserve">Сауранбаева </w:t>
      </w:r>
    </w:p>
    <w:p w14:paraId="64D98BC9" w14:textId="77777777" w:rsidR="00AC1D3C" w:rsidRPr="00003A3E" w:rsidRDefault="00AC1D3C" w:rsidP="00003A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CAF5AB3" w14:textId="1D308DED" w:rsidR="00C77150" w:rsidRPr="005626A2" w:rsidRDefault="00A66CEB" w:rsidP="00892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7150" w:rsidRPr="0056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C6A98"/>
    <w:multiLevelType w:val="hybridMultilevel"/>
    <w:tmpl w:val="435C9D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07A2"/>
    <w:multiLevelType w:val="hybridMultilevel"/>
    <w:tmpl w:val="97E24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F3E16"/>
    <w:multiLevelType w:val="hybridMultilevel"/>
    <w:tmpl w:val="240423C0"/>
    <w:lvl w:ilvl="0" w:tplc="9D322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05"/>
    <w:rsid w:val="00003A3E"/>
    <w:rsid w:val="00005805"/>
    <w:rsid w:val="000063F6"/>
    <w:rsid w:val="0001080F"/>
    <w:rsid w:val="000203D5"/>
    <w:rsid w:val="0003206A"/>
    <w:rsid w:val="00037A18"/>
    <w:rsid w:val="00046BC6"/>
    <w:rsid w:val="00050E02"/>
    <w:rsid w:val="00060AC3"/>
    <w:rsid w:val="0006710D"/>
    <w:rsid w:val="0006771D"/>
    <w:rsid w:val="00076EED"/>
    <w:rsid w:val="00081B29"/>
    <w:rsid w:val="000920C0"/>
    <w:rsid w:val="00097475"/>
    <w:rsid w:val="000A1E3A"/>
    <w:rsid w:val="000B0ACF"/>
    <w:rsid w:val="000B37A0"/>
    <w:rsid w:val="000B42FE"/>
    <w:rsid w:val="000C12B3"/>
    <w:rsid w:val="000C3746"/>
    <w:rsid w:val="000E5B78"/>
    <w:rsid w:val="00101D4D"/>
    <w:rsid w:val="00113FB2"/>
    <w:rsid w:val="00116AEC"/>
    <w:rsid w:val="0011736E"/>
    <w:rsid w:val="0012140C"/>
    <w:rsid w:val="001218C6"/>
    <w:rsid w:val="001241FA"/>
    <w:rsid w:val="0013026F"/>
    <w:rsid w:val="00136DCB"/>
    <w:rsid w:val="00150204"/>
    <w:rsid w:val="00155AEB"/>
    <w:rsid w:val="00156A64"/>
    <w:rsid w:val="00165C67"/>
    <w:rsid w:val="00173B87"/>
    <w:rsid w:val="00174F64"/>
    <w:rsid w:val="001750E7"/>
    <w:rsid w:val="00175D86"/>
    <w:rsid w:val="00187C18"/>
    <w:rsid w:val="00191869"/>
    <w:rsid w:val="001922AB"/>
    <w:rsid w:val="001A5B02"/>
    <w:rsid w:val="001D5C02"/>
    <w:rsid w:val="001E5EE0"/>
    <w:rsid w:val="001F258F"/>
    <w:rsid w:val="001F2C7E"/>
    <w:rsid w:val="0020065C"/>
    <w:rsid w:val="002039DD"/>
    <w:rsid w:val="00203B24"/>
    <w:rsid w:val="00204B40"/>
    <w:rsid w:val="0021670C"/>
    <w:rsid w:val="002204EC"/>
    <w:rsid w:val="00221EBC"/>
    <w:rsid w:val="00223812"/>
    <w:rsid w:val="002263E6"/>
    <w:rsid w:val="00250115"/>
    <w:rsid w:val="00251267"/>
    <w:rsid w:val="002540CE"/>
    <w:rsid w:val="00257F54"/>
    <w:rsid w:val="0026140B"/>
    <w:rsid w:val="00264D69"/>
    <w:rsid w:val="0026686C"/>
    <w:rsid w:val="00267ABE"/>
    <w:rsid w:val="00270FBE"/>
    <w:rsid w:val="00273A0A"/>
    <w:rsid w:val="00276AC7"/>
    <w:rsid w:val="002925B4"/>
    <w:rsid w:val="00293F5D"/>
    <w:rsid w:val="002951B9"/>
    <w:rsid w:val="00296B55"/>
    <w:rsid w:val="002A35E6"/>
    <w:rsid w:val="002B07BF"/>
    <w:rsid w:val="002C0D01"/>
    <w:rsid w:val="002C195B"/>
    <w:rsid w:val="002E2B17"/>
    <w:rsid w:val="002E2F28"/>
    <w:rsid w:val="002E7C7E"/>
    <w:rsid w:val="002F21CC"/>
    <w:rsid w:val="002F358D"/>
    <w:rsid w:val="003026ED"/>
    <w:rsid w:val="00311227"/>
    <w:rsid w:val="0031211A"/>
    <w:rsid w:val="00317D3B"/>
    <w:rsid w:val="00324B83"/>
    <w:rsid w:val="003255F1"/>
    <w:rsid w:val="00326CD2"/>
    <w:rsid w:val="003415A4"/>
    <w:rsid w:val="00341B2A"/>
    <w:rsid w:val="00342ADF"/>
    <w:rsid w:val="00361A17"/>
    <w:rsid w:val="003655E8"/>
    <w:rsid w:val="00367FE6"/>
    <w:rsid w:val="0037218E"/>
    <w:rsid w:val="00383541"/>
    <w:rsid w:val="00387ACF"/>
    <w:rsid w:val="003914EF"/>
    <w:rsid w:val="00391C93"/>
    <w:rsid w:val="003A11C3"/>
    <w:rsid w:val="003A33B1"/>
    <w:rsid w:val="003B14D6"/>
    <w:rsid w:val="003B25C5"/>
    <w:rsid w:val="003B3CA4"/>
    <w:rsid w:val="003B6FC4"/>
    <w:rsid w:val="003C108E"/>
    <w:rsid w:val="003C1577"/>
    <w:rsid w:val="003C24AF"/>
    <w:rsid w:val="003D10C3"/>
    <w:rsid w:val="003D2D2E"/>
    <w:rsid w:val="003D3DD0"/>
    <w:rsid w:val="003E4AFC"/>
    <w:rsid w:val="003F7407"/>
    <w:rsid w:val="0040107C"/>
    <w:rsid w:val="004010F6"/>
    <w:rsid w:val="0040302E"/>
    <w:rsid w:val="00403EA2"/>
    <w:rsid w:val="0040531F"/>
    <w:rsid w:val="00406493"/>
    <w:rsid w:val="0040781E"/>
    <w:rsid w:val="004169AC"/>
    <w:rsid w:val="00420911"/>
    <w:rsid w:val="00420B04"/>
    <w:rsid w:val="004303D5"/>
    <w:rsid w:val="00441434"/>
    <w:rsid w:val="00443C65"/>
    <w:rsid w:val="0044495A"/>
    <w:rsid w:val="00451F9E"/>
    <w:rsid w:val="00457D4C"/>
    <w:rsid w:val="00466461"/>
    <w:rsid w:val="00467DD7"/>
    <w:rsid w:val="0047410A"/>
    <w:rsid w:val="004804CF"/>
    <w:rsid w:val="00481EF4"/>
    <w:rsid w:val="004B4E9F"/>
    <w:rsid w:val="004B6C79"/>
    <w:rsid w:val="004C5A98"/>
    <w:rsid w:val="004D1A31"/>
    <w:rsid w:val="004D3C78"/>
    <w:rsid w:val="004E014C"/>
    <w:rsid w:val="004E08F9"/>
    <w:rsid w:val="004E1312"/>
    <w:rsid w:val="004E1A0D"/>
    <w:rsid w:val="004E4377"/>
    <w:rsid w:val="004F4211"/>
    <w:rsid w:val="004F46A8"/>
    <w:rsid w:val="00500B8F"/>
    <w:rsid w:val="0050404D"/>
    <w:rsid w:val="005203F5"/>
    <w:rsid w:val="005222F7"/>
    <w:rsid w:val="00522970"/>
    <w:rsid w:val="00536482"/>
    <w:rsid w:val="00536BBC"/>
    <w:rsid w:val="00541627"/>
    <w:rsid w:val="00551C4D"/>
    <w:rsid w:val="005527DC"/>
    <w:rsid w:val="00556403"/>
    <w:rsid w:val="00560F04"/>
    <w:rsid w:val="005626A2"/>
    <w:rsid w:val="00566934"/>
    <w:rsid w:val="00572C17"/>
    <w:rsid w:val="005740B4"/>
    <w:rsid w:val="00575918"/>
    <w:rsid w:val="00575D9A"/>
    <w:rsid w:val="00584B6D"/>
    <w:rsid w:val="00591597"/>
    <w:rsid w:val="005A550E"/>
    <w:rsid w:val="005A74D9"/>
    <w:rsid w:val="005B0C78"/>
    <w:rsid w:val="005B7F43"/>
    <w:rsid w:val="005C7166"/>
    <w:rsid w:val="005D5979"/>
    <w:rsid w:val="005D6B00"/>
    <w:rsid w:val="005F1161"/>
    <w:rsid w:val="005F4A5C"/>
    <w:rsid w:val="00602F16"/>
    <w:rsid w:val="00603E40"/>
    <w:rsid w:val="00613FD2"/>
    <w:rsid w:val="0062158D"/>
    <w:rsid w:val="0063205A"/>
    <w:rsid w:val="00634156"/>
    <w:rsid w:val="00634278"/>
    <w:rsid w:val="00635DEF"/>
    <w:rsid w:val="00642A6B"/>
    <w:rsid w:val="00642EC1"/>
    <w:rsid w:val="006461A7"/>
    <w:rsid w:val="00652CC9"/>
    <w:rsid w:val="0065434E"/>
    <w:rsid w:val="0065655E"/>
    <w:rsid w:val="006607B7"/>
    <w:rsid w:val="00662ED9"/>
    <w:rsid w:val="006639EA"/>
    <w:rsid w:val="00663A59"/>
    <w:rsid w:val="00676DAF"/>
    <w:rsid w:val="00680923"/>
    <w:rsid w:val="00680F33"/>
    <w:rsid w:val="0068377E"/>
    <w:rsid w:val="006A17C3"/>
    <w:rsid w:val="006A1A8A"/>
    <w:rsid w:val="006A7A72"/>
    <w:rsid w:val="006C3995"/>
    <w:rsid w:val="006D1CEA"/>
    <w:rsid w:val="006D2B3A"/>
    <w:rsid w:val="006D3A85"/>
    <w:rsid w:val="006D5E39"/>
    <w:rsid w:val="006D7BE7"/>
    <w:rsid w:val="006E7EB1"/>
    <w:rsid w:val="006F14EE"/>
    <w:rsid w:val="007067D5"/>
    <w:rsid w:val="00715C18"/>
    <w:rsid w:val="0072158A"/>
    <w:rsid w:val="007257A0"/>
    <w:rsid w:val="00725F28"/>
    <w:rsid w:val="007261F0"/>
    <w:rsid w:val="007263F0"/>
    <w:rsid w:val="00732DD4"/>
    <w:rsid w:val="00734D20"/>
    <w:rsid w:val="007433F6"/>
    <w:rsid w:val="00746AB1"/>
    <w:rsid w:val="00754855"/>
    <w:rsid w:val="007632B9"/>
    <w:rsid w:val="00764E56"/>
    <w:rsid w:val="007666D0"/>
    <w:rsid w:val="00774692"/>
    <w:rsid w:val="0077591E"/>
    <w:rsid w:val="00780833"/>
    <w:rsid w:val="0078173E"/>
    <w:rsid w:val="0078522E"/>
    <w:rsid w:val="0079004A"/>
    <w:rsid w:val="007900AD"/>
    <w:rsid w:val="007943A5"/>
    <w:rsid w:val="007968AA"/>
    <w:rsid w:val="007A01D5"/>
    <w:rsid w:val="007A14DA"/>
    <w:rsid w:val="007A35B8"/>
    <w:rsid w:val="007A4953"/>
    <w:rsid w:val="007A730B"/>
    <w:rsid w:val="007B033D"/>
    <w:rsid w:val="007B0420"/>
    <w:rsid w:val="007B0BE9"/>
    <w:rsid w:val="007B2CD2"/>
    <w:rsid w:val="007B5585"/>
    <w:rsid w:val="007B6672"/>
    <w:rsid w:val="007C1C33"/>
    <w:rsid w:val="007C746C"/>
    <w:rsid w:val="007C7CB0"/>
    <w:rsid w:val="007D0221"/>
    <w:rsid w:val="007E0A19"/>
    <w:rsid w:val="007F2A33"/>
    <w:rsid w:val="007F2D9D"/>
    <w:rsid w:val="007F3788"/>
    <w:rsid w:val="007F458C"/>
    <w:rsid w:val="007F510D"/>
    <w:rsid w:val="00801220"/>
    <w:rsid w:val="00806C27"/>
    <w:rsid w:val="00810637"/>
    <w:rsid w:val="008166EE"/>
    <w:rsid w:val="00817D44"/>
    <w:rsid w:val="00820220"/>
    <w:rsid w:val="008248DF"/>
    <w:rsid w:val="00831922"/>
    <w:rsid w:val="0084383B"/>
    <w:rsid w:val="00866A9D"/>
    <w:rsid w:val="0086707E"/>
    <w:rsid w:val="0086791C"/>
    <w:rsid w:val="00867998"/>
    <w:rsid w:val="008766DB"/>
    <w:rsid w:val="00880228"/>
    <w:rsid w:val="00887EE4"/>
    <w:rsid w:val="00892B18"/>
    <w:rsid w:val="0089491B"/>
    <w:rsid w:val="00895507"/>
    <w:rsid w:val="008959F9"/>
    <w:rsid w:val="008A09E5"/>
    <w:rsid w:val="008A1BB9"/>
    <w:rsid w:val="008A3263"/>
    <w:rsid w:val="008D68E1"/>
    <w:rsid w:val="008D6CC8"/>
    <w:rsid w:val="008D7600"/>
    <w:rsid w:val="008E3302"/>
    <w:rsid w:val="008F6999"/>
    <w:rsid w:val="0092137A"/>
    <w:rsid w:val="00931CA6"/>
    <w:rsid w:val="00933A80"/>
    <w:rsid w:val="0094070A"/>
    <w:rsid w:val="00945AF7"/>
    <w:rsid w:val="00947F52"/>
    <w:rsid w:val="00951DB0"/>
    <w:rsid w:val="0095405F"/>
    <w:rsid w:val="00966768"/>
    <w:rsid w:val="00971C9B"/>
    <w:rsid w:val="009722F3"/>
    <w:rsid w:val="00973807"/>
    <w:rsid w:val="009811CE"/>
    <w:rsid w:val="009826D7"/>
    <w:rsid w:val="0098484B"/>
    <w:rsid w:val="009941B5"/>
    <w:rsid w:val="0099616B"/>
    <w:rsid w:val="009962CB"/>
    <w:rsid w:val="009A2D11"/>
    <w:rsid w:val="009A3DFD"/>
    <w:rsid w:val="009A4D9C"/>
    <w:rsid w:val="009B768B"/>
    <w:rsid w:val="009C6648"/>
    <w:rsid w:val="009D3D5B"/>
    <w:rsid w:val="009F5561"/>
    <w:rsid w:val="00A1065C"/>
    <w:rsid w:val="00A14B83"/>
    <w:rsid w:val="00A21B6A"/>
    <w:rsid w:val="00A24049"/>
    <w:rsid w:val="00A255E6"/>
    <w:rsid w:val="00A26F05"/>
    <w:rsid w:val="00A325CE"/>
    <w:rsid w:val="00A408DA"/>
    <w:rsid w:val="00A41268"/>
    <w:rsid w:val="00A61AD4"/>
    <w:rsid w:val="00A64161"/>
    <w:rsid w:val="00A6645F"/>
    <w:rsid w:val="00A66CEB"/>
    <w:rsid w:val="00A71B13"/>
    <w:rsid w:val="00A71F99"/>
    <w:rsid w:val="00A76FB4"/>
    <w:rsid w:val="00A83B46"/>
    <w:rsid w:val="00A8682F"/>
    <w:rsid w:val="00A86F48"/>
    <w:rsid w:val="00A87B22"/>
    <w:rsid w:val="00AA0559"/>
    <w:rsid w:val="00AB4EA8"/>
    <w:rsid w:val="00AB5F49"/>
    <w:rsid w:val="00AB719A"/>
    <w:rsid w:val="00AC1D3C"/>
    <w:rsid w:val="00AC5B2C"/>
    <w:rsid w:val="00AC621A"/>
    <w:rsid w:val="00AC6A9F"/>
    <w:rsid w:val="00AC72AE"/>
    <w:rsid w:val="00AD733A"/>
    <w:rsid w:val="00AE0BF4"/>
    <w:rsid w:val="00AE33DF"/>
    <w:rsid w:val="00AF0BB3"/>
    <w:rsid w:val="00AF0FF3"/>
    <w:rsid w:val="00AF246F"/>
    <w:rsid w:val="00B02524"/>
    <w:rsid w:val="00B0520C"/>
    <w:rsid w:val="00B15FC9"/>
    <w:rsid w:val="00B178F7"/>
    <w:rsid w:val="00B22614"/>
    <w:rsid w:val="00B31FE0"/>
    <w:rsid w:val="00B3318C"/>
    <w:rsid w:val="00B33C4F"/>
    <w:rsid w:val="00B47238"/>
    <w:rsid w:val="00B51E93"/>
    <w:rsid w:val="00B52442"/>
    <w:rsid w:val="00B62094"/>
    <w:rsid w:val="00B7299E"/>
    <w:rsid w:val="00B81FEF"/>
    <w:rsid w:val="00B847FB"/>
    <w:rsid w:val="00B8684F"/>
    <w:rsid w:val="00B91713"/>
    <w:rsid w:val="00BA3A8C"/>
    <w:rsid w:val="00BB4C44"/>
    <w:rsid w:val="00BB6AA4"/>
    <w:rsid w:val="00BC1431"/>
    <w:rsid w:val="00BC655A"/>
    <w:rsid w:val="00BC6993"/>
    <w:rsid w:val="00BC7D4D"/>
    <w:rsid w:val="00BD39B8"/>
    <w:rsid w:val="00BE1ECD"/>
    <w:rsid w:val="00BE2579"/>
    <w:rsid w:val="00BE4360"/>
    <w:rsid w:val="00BE4B08"/>
    <w:rsid w:val="00BE6BED"/>
    <w:rsid w:val="00BE6E8B"/>
    <w:rsid w:val="00BE7DAE"/>
    <w:rsid w:val="00BF20A9"/>
    <w:rsid w:val="00BF782B"/>
    <w:rsid w:val="00C05967"/>
    <w:rsid w:val="00C0757C"/>
    <w:rsid w:val="00C138F4"/>
    <w:rsid w:val="00C14C49"/>
    <w:rsid w:val="00C212EF"/>
    <w:rsid w:val="00C21467"/>
    <w:rsid w:val="00C22CD1"/>
    <w:rsid w:val="00C24DF0"/>
    <w:rsid w:val="00C27B83"/>
    <w:rsid w:val="00C63E0B"/>
    <w:rsid w:val="00C647BC"/>
    <w:rsid w:val="00C700F8"/>
    <w:rsid w:val="00C75C8A"/>
    <w:rsid w:val="00C77150"/>
    <w:rsid w:val="00C77EE9"/>
    <w:rsid w:val="00C816A1"/>
    <w:rsid w:val="00C81CBF"/>
    <w:rsid w:val="00C92F8D"/>
    <w:rsid w:val="00C97A83"/>
    <w:rsid w:val="00CA4D3F"/>
    <w:rsid w:val="00CA5BB9"/>
    <w:rsid w:val="00CB146D"/>
    <w:rsid w:val="00CC30E1"/>
    <w:rsid w:val="00CC369C"/>
    <w:rsid w:val="00CD3C88"/>
    <w:rsid w:val="00CD52F9"/>
    <w:rsid w:val="00CE4D5D"/>
    <w:rsid w:val="00CE63B1"/>
    <w:rsid w:val="00CE6CE2"/>
    <w:rsid w:val="00D128F9"/>
    <w:rsid w:val="00D14700"/>
    <w:rsid w:val="00D1497B"/>
    <w:rsid w:val="00D20C91"/>
    <w:rsid w:val="00D32EA4"/>
    <w:rsid w:val="00D3535B"/>
    <w:rsid w:val="00D432C4"/>
    <w:rsid w:val="00D43AD7"/>
    <w:rsid w:val="00D61373"/>
    <w:rsid w:val="00D668CC"/>
    <w:rsid w:val="00D66F69"/>
    <w:rsid w:val="00D7189B"/>
    <w:rsid w:val="00D73682"/>
    <w:rsid w:val="00D75958"/>
    <w:rsid w:val="00D75C0F"/>
    <w:rsid w:val="00D8005A"/>
    <w:rsid w:val="00D86AB7"/>
    <w:rsid w:val="00D900CD"/>
    <w:rsid w:val="00D959D4"/>
    <w:rsid w:val="00D95C61"/>
    <w:rsid w:val="00D970C8"/>
    <w:rsid w:val="00DA0B72"/>
    <w:rsid w:val="00DA2228"/>
    <w:rsid w:val="00DA29E7"/>
    <w:rsid w:val="00DB689A"/>
    <w:rsid w:val="00DC03EF"/>
    <w:rsid w:val="00DC6004"/>
    <w:rsid w:val="00DC6F24"/>
    <w:rsid w:val="00DD014D"/>
    <w:rsid w:val="00DE5EFE"/>
    <w:rsid w:val="00DF2E55"/>
    <w:rsid w:val="00E0156A"/>
    <w:rsid w:val="00E020B2"/>
    <w:rsid w:val="00E3770C"/>
    <w:rsid w:val="00E42E74"/>
    <w:rsid w:val="00E50E98"/>
    <w:rsid w:val="00E550B3"/>
    <w:rsid w:val="00E55D47"/>
    <w:rsid w:val="00E618CD"/>
    <w:rsid w:val="00E9259A"/>
    <w:rsid w:val="00E93E03"/>
    <w:rsid w:val="00E95D72"/>
    <w:rsid w:val="00E973C8"/>
    <w:rsid w:val="00EA53D8"/>
    <w:rsid w:val="00EB7631"/>
    <w:rsid w:val="00EC3219"/>
    <w:rsid w:val="00EC39E9"/>
    <w:rsid w:val="00EC678F"/>
    <w:rsid w:val="00ED4EE0"/>
    <w:rsid w:val="00EE0209"/>
    <w:rsid w:val="00EE6A13"/>
    <w:rsid w:val="00EF0DE5"/>
    <w:rsid w:val="00EF3E2F"/>
    <w:rsid w:val="00F02C63"/>
    <w:rsid w:val="00F048F6"/>
    <w:rsid w:val="00F17865"/>
    <w:rsid w:val="00F23B9C"/>
    <w:rsid w:val="00F25B58"/>
    <w:rsid w:val="00F318A8"/>
    <w:rsid w:val="00F42048"/>
    <w:rsid w:val="00F4264C"/>
    <w:rsid w:val="00F44BCB"/>
    <w:rsid w:val="00F50AEE"/>
    <w:rsid w:val="00F53D96"/>
    <w:rsid w:val="00F55E1A"/>
    <w:rsid w:val="00F579EB"/>
    <w:rsid w:val="00F623C5"/>
    <w:rsid w:val="00F7115F"/>
    <w:rsid w:val="00F80F26"/>
    <w:rsid w:val="00FA0A83"/>
    <w:rsid w:val="00FA7419"/>
    <w:rsid w:val="00FA7A75"/>
    <w:rsid w:val="00FB7F81"/>
    <w:rsid w:val="00FD1179"/>
    <w:rsid w:val="00FE165B"/>
    <w:rsid w:val="00FE3D05"/>
    <w:rsid w:val="00FE7FB8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AE12"/>
  <w15:chartTrackingRefBased/>
  <w15:docId w15:val="{FF490B08-9D1E-4E28-B666-45181498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1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D47"/>
    <w:pPr>
      <w:ind w:left="720"/>
      <w:contextualSpacing/>
    </w:pPr>
  </w:style>
  <w:style w:type="character" w:styleId="a5">
    <w:name w:val="Emphasis"/>
    <w:basedOn w:val="a0"/>
    <w:uiPriority w:val="20"/>
    <w:qFormat/>
    <w:rsid w:val="00C0757C"/>
    <w:rPr>
      <w:i/>
      <w:iCs/>
    </w:rPr>
  </w:style>
  <w:style w:type="paragraph" w:styleId="a6">
    <w:name w:val="No Spacing"/>
    <w:uiPriority w:val="1"/>
    <w:qFormat/>
    <w:rsid w:val="003255F1"/>
    <w:pPr>
      <w:spacing w:after="0" w:line="240" w:lineRule="auto"/>
    </w:pPr>
  </w:style>
  <w:style w:type="paragraph" w:customStyle="1" w:styleId="mb-1">
    <w:name w:val="mb-1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b-2">
    <w:name w:val="mb-2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367FE6"/>
    <w:rPr>
      <w:b/>
      <w:bCs/>
    </w:rPr>
  </w:style>
  <w:style w:type="paragraph" w:styleId="a8">
    <w:name w:val="Normal (Web)"/>
    <w:basedOn w:val="a"/>
    <w:uiPriority w:val="99"/>
    <w:semiHidden/>
    <w:unhideWhenUsed/>
    <w:rsid w:val="0055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4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29BE509A3E144AC91BDE15289B9E0" ma:contentTypeVersion="16" ma:contentTypeDescription="Create a new document." ma:contentTypeScope="" ma:versionID="b38ad38f1a6831535cd56a22cc68787f">
  <xsd:schema xmlns:xsd="http://www.w3.org/2001/XMLSchema" xmlns:xs="http://www.w3.org/2001/XMLSchema" xmlns:p="http://schemas.microsoft.com/office/2006/metadata/properties" xmlns:ns2="a54a9aab-e217-425f-be48-b737be2f876f" xmlns:ns3="11cf3210-79d0-4d82-8b1a-4ad43bc27342" targetNamespace="http://schemas.microsoft.com/office/2006/metadata/properties" ma:root="true" ma:fieldsID="5ab02c76ec52c533ba1847a9d5d865c4" ns2:_="" ns3:_="">
    <xsd:import namespace="a54a9aab-e217-425f-be48-b737be2f876f"/>
    <xsd:import namespace="11cf3210-79d0-4d82-8b1a-4ad43bc27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a9aab-e217-425f-be48-b737be2f8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f3210-79d0-4d82-8b1a-4ad43bc27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38c9d8-5794-483e-bebe-b589b62c4c07}" ma:internalName="TaxCatchAll" ma:showField="CatchAllData" ma:web="11cf3210-79d0-4d82-8b1a-4ad43bc27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4a9aab-e217-425f-be48-b737be2f876f">
      <Terms xmlns="http://schemas.microsoft.com/office/infopath/2007/PartnerControls"/>
    </lcf76f155ced4ddcb4097134ff3c332f>
    <TaxCatchAll xmlns="11cf3210-79d0-4d82-8b1a-4ad43bc273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AAF52-694E-4493-8278-F2B648EF0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a9aab-e217-425f-be48-b737be2f876f"/>
    <ds:schemaRef ds:uri="11cf3210-79d0-4d82-8b1a-4ad43bc27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674D8-ACA1-43DE-B424-6F50F4E4B198}">
  <ds:schemaRefs>
    <ds:schemaRef ds:uri="http://schemas.microsoft.com/office/2006/metadata/properties"/>
    <ds:schemaRef ds:uri="http://schemas.microsoft.com/office/infopath/2007/PartnerControls"/>
    <ds:schemaRef ds:uri="a54a9aab-e217-425f-be48-b737be2f876f"/>
    <ds:schemaRef ds:uri="11cf3210-79d0-4d82-8b1a-4ad43bc27342"/>
  </ds:schemaRefs>
</ds:datastoreItem>
</file>

<file path=customXml/itemProps3.xml><?xml version="1.0" encoding="utf-8"?>
<ds:datastoreItem xmlns:ds="http://schemas.openxmlformats.org/officeDocument/2006/customXml" ds:itemID="{EB775171-2572-453C-991F-DB8892A27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8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Ибрагимова</dc:creator>
  <cp:keywords/>
  <dc:description/>
  <cp:lastModifiedBy>Ryssaldy Demeuova</cp:lastModifiedBy>
  <cp:revision>323</cp:revision>
  <dcterms:created xsi:type="dcterms:W3CDTF">2022-12-06T03:35:00Z</dcterms:created>
  <dcterms:modified xsi:type="dcterms:W3CDTF">2022-12-06T10:58:00Z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0x01010017329BE509A3E144AC91BDE15289B9E0</vt:lpwstr>
  </property>
</Properties>
</file>